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561212"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509D03A3"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985737" w:rsidRPr="00985737">
        <w:rPr>
          <w:rFonts w:eastAsia="Calibri" w:cstheme="minorHAnsi"/>
          <w:b/>
          <w:bCs/>
          <w:sz w:val="18"/>
          <w:szCs w:val="18"/>
          <w:lang w:val="en-CA"/>
        </w:rPr>
        <w:t>UNW-ECA-GEO-CFP-2024-00</w:t>
      </w:r>
      <w:r w:rsidR="00985737">
        <w:rPr>
          <w:rFonts w:eastAsia="Calibri" w:cstheme="minorHAnsi"/>
          <w:b/>
          <w:bCs/>
          <w:sz w:val="18"/>
          <w:szCs w:val="18"/>
          <w:lang w:val="en-CA"/>
        </w:rPr>
        <w:t>2</w:t>
      </w:r>
      <w:r w:rsidRPr="0056586D" w:rsidDel="009071F3">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1D32437B" w14:textId="255E970D" w:rsidR="00656EDE"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561212" w:rsidRPr="007F489A">
        <w:rPr>
          <w:rFonts w:eastAsia="Calibri" w:cstheme="minorHAnsi"/>
          <w:spacing w:val="-2"/>
          <w:sz w:val="18"/>
          <w:szCs w:val="18"/>
        </w:rPr>
        <w:t>19:00</w:t>
      </w:r>
      <w:r w:rsidRPr="007F489A">
        <w:rPr>
          <w:rFonts w:eastAsia="Calibri" w:cstheme="minorHAnsi"/>
          <w:sz w:val="18"/>
          <w:szCs w:val="18"/>
          <w:lang w:val="en-CA"/>
        </w:rPr>
        <w:t xml:space="preserve"> on </w:t>
      </w:r>
      <w:r w:rsidR="00561212" w:rsidRPr="007F489A">
        <w:rPr>
          <w:rFonts w:eastAsia="Calibri" w:cstheme="minorHAnsi"/>
          <w:sz w:val="18"/>
          <w:szCs w:val="18"/>
          <w:lang w:val="en-CA"/>
        </w:rPr>
        <w:t>May 2</w:t>
      </w:r>
      <w:r w:rsidR="00AA0C41">
        <w:rPr>
          <w:rFonts w:eastAsia="Calibri" w:cstheme="minorHAnsi"/>
          <w:sz w:val="18"/>
          <w:szCs w:val="18"/>
          <w:lang w:val="ka-GE"/>
        </w:rPr>
        <w:t>5</w:t>
      </w:r>
      <w:r w:rsidRPr="007F489A">
        <w:rPr>
          <w:rFonts w:eastAsia="Calibri" w:cstheme="minorHAnsi"/>
          <w:sz w:val="18"/>
          <w:szCs w:val="18"/>
          <w:lang w:val="en-CA"/>
        </w:rPr>
        <w:t>.</w:t>
      </w:r>
    </w:p>
    <w:p w14:paraId="74EC4F1D" w14:textId="77777777" w:rsidR="00AA0C41" w:rsidRPr="0056586D" w:rsidRDefault="00AA0C41" w:rsidP="00093C2D">
      <w:pPr>
        <w:spacing w:after="0" w:line="240" w:lineRule="auto"/>
        <w:jc w:val="both"/>
        <w:rPr>
          <w:rFonts w:eastAsia="Calibri" w:cstheme="minorHAnsi"/>
          <w:sz w:val="18"/>
          <w:szCs w:val="18"/>
          <w:lang w:val="en-CA"/>
        </w:rPr>
      </w:pPr>
    </w:p>
    <w:p w14:paraId="1BA9310F" w14:textId="18006B01"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 xml:space="preserve">The budget range for this proposal </w:t>
      </w:r>
      <w:r w:rsidRPr="00AA0C41">
        <w:rPr>
          <w:rFonts w:eastAsia="Calibri" w:cstheme="minorHAnsi"/>
          <w:b/>
          <w:bCs/>
          <w:sz w:val="18"/>
          <w:szCs w:val="18"/>
          <w:lang w:val="en-CA"/>
        </w:rPr>
        <w:t>should be</w:t>
      </w:r>
      <w:r w:rsidRPr="00AA0C41">
        <w:rPr>
          <w:rFonts w:eastAsia="Calibri" w:cstheme="minorHAnsi"/>
          <w:sz w:val="18"/>
          <w:szCs w:val="18"/>
          <w:lang w:val="en-CA"/>
        </w:rPr>
        <w:t xml:space="preserve"> </w:t>
      </w:r>
      <w:r w:rsidR="00057257" w:rsidRPr="00AA0C41">
        <w:rPr>
          <w:rFonts w:eastAsia="Calibri" w:cstheme="minorHAnsi"/>
          <w:sz w:val="18"/>
          <w:szCs w:val="18"/>
          <w:lang w:val="en-CA"/>
        </w:rPr>
        <w:t xml:space="preserve">USD </w:t>
      </w:r>
      <w:proofErr w:type="gramStart"/>
      <w:r w:rsidR="00057257" w:rsidRPr="00AA0C41">
        <w:rPr>
          <w:rFonts w:eastAsia="Calibri" w:cstheme="minorHAnsi"/>
          <w:sz w:val="18"/>
          <w:szCs w:val="18"/>
          <w:lang w:val="en-CA"/>
        </w:rPr>
        <w:t>4</w:t>
      </w:r>
      <w:r w:rsidR="008A5FAB" w:rsidRPr="00AA0C41">
        <w:rPr>
          <w:rFonts w:eastAsia="Calibri" w:cstheme="minorHAnsi"/>
          <w:sz w:val="18"/>
          <w:szCs w:val="18"/>
          <w:lang w:val="en-CA"/>
        </w:rPr>
        <w:t>5</w:t>
      </w:r>
      <w:r w:rsidR="00057257" w:rsidRPr="00AA0C41">
        <w:rPr>
          <w:rFonts w:eastAsia="Calibri" w:cstheme="minorHAnsi"/>
          <w:sz w:val="18"/>
          <w:szCs w:val="18"/>
          <w:lang w:val="en-CA"/>
        </w:rPr>
        <w:t xml:space="preserve">,000 </w:t>
      </w:r>
      <w:r w:rsidR="00AA0C41" w:rsidRPr="00AA0C41">
        <w:rPr>
          <w:rFonts w:eastAsia="Calibri" w:cstheme="minorHAnsi"/>
          <w:sz w:val="18"/>
          <w:szCs w:val="18"/>
          <w:lang w:val="ka-GE"/>
        </w:rPr>
        <w:t xml:space="preserve"> </w:t>
      </w:r>
      <w:r w:rsidR="00AA0C41" w:rsidRPr="00AA0C41">
        <w:rPr>
          <w:rFonts w:eastAsia="Calibri" w:cstheme="minorHAnsi"/>
          <w:sz w:val="18"/>
          <w:szCs w:val="18"/>
        </w:rPr>
        <w:t>to</w:t>
      </w:r>
      <w:proofErr w:type="gramEnd"/>
      <w:r w:rsidR="00AA0C41" w:rsidRPr="00AA0C41">
        <w:rPr>
          <w:rFonts w:eastAsia="Calibri" w:cstheme="minorHAnsi"/>
          <w:sz w:val="18"/>
          <w:szCs w:val="18"/>
        </w:rPr>
        <w:t xml:space="preserve"> </w:t>
      </w:r>
      <w:r w:rsidR="00057257" w:rsidRPr="00AA0C41">
        <w:rPr>
          <w:rFonts w:eastAsia="Calibri" w:cstheme="minorHAnsi"/>
          <w:sz w:val="18"/>
          <w:szCs w:val="18"/>
          <w:lang w:val="en-CA"/>
        </w:rPr>
        <w:t>USD 50,000</w:t>
      </w:r>
      <w:r w:rsidRPr="00AA0C41">
        <w:rPr>
          <w:rFonts w:eastAsia="Calibri" w:cstheme="minorHAnsi"/>
          <w:sz w:val="18"/>
          <w:szCs w:val="18"/>
          <w:lang w:val="en-CA"/>
        </w:rPr>
        <w:t>.</w:t>
      </w:r>
      <w:r w:rsidR="0083354B" w:rsidRPr="00AA0C41">
        <w:rPr>
          <w:rStyle w:val="FootnoteReference"/>
          <w:rFonts w:eastAsia="Calibri" w:cstheme="minorHAnsi"/>
          <w:sz w:val="18"/>
          <w:szCs w:val="18"/>
          <w:lang w:val="en-CA"/>
        </w:rPr>
        <w:footnoteReference w:id="2"/>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C66CE6" w:rsidRDefault="00355378" w:rsidP="0038204D">
            <w:pPr>
              <w:tabs>
                <w:tab w:val="left" w:pos="-720"/>
                <w:tab w:val="left" w:pos="1440"/>
              </w:tabs>
              <w:suppressAutoHyphens/>
              <w:jc w:val="center"/>
              <w:rPr>
                <w:rFonts w:asciiTheme="minorHAnsi" w:hAnsiTheme="minorHAnsi" w:cstheme="minorHAnsi"/>
                <w:b/>
                <w:spacing w:val="-2"/>
                <w:sz w:val="18"/>
                <w:szCs w:val="18"/>
                <w:lang w:val="ka-GE"/>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46C5D4FE" w14:textId="77777777" w:rsidR="00A035E0" w:rsidRDefault="00EE72FF" w:rsidP="0042572A">
            <w:pPr>
              <w:pStyle w:val="ListParagraph"/>
              <w:ind w:left="339"/>
              <w:jc w:val="both"/>
              <w:rPr>
                <w:rFonts w:cstheme="minorHAnsi"/>
                <w:spacing w:val="-3"/>
                <w:sz w:val="18"/>
                <w:szCs w:val="18"/>
                <w:lang w:val="en-CA"/>
              </w:rPr>
            </w:pPr>
            <w:r w:rsidRPr="0042572A">
              <w:rPr>
                <w:rFonts w:cstheme="minorHAnsi"/>
                <w:spacing w:val="-3"/>
                <w:sz w:val="18"/>
                <w:szCs w:val="18"/>
                <w:lang w:val="en-CA"/>
              </w:rPr>
              <w:t>Criteria and Contractual Aspects</w:t>
            </w:r>
          </w:p>
          <w:p w14:paraId="51FEEC46" w14:textId="0B1ADBFC" w:rsidR="00D72F1E" w:rsidRPr="003D5969" w:rsidRDefault="00D72F1E" w:rsidP="0042572A">
            <w:pPr>
              <w:pStyle w:val="ListParagraph"/>
              <w:ind w:left="339"/>
              <w:jc w:val="both"/>
              <w:rPr>
                <w:lang w:val="en-CA"/>
              </w:rPr>
            </w:pP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093B2783"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p>
          <w:p w14:paraId="37D99A10" w14:textId="7531445A" w:rsidR="00D72F1E" w:rsidRPr="00A410B1" w:rsidRDefault="0016762F" w:rsidP="00AA0C4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76FE2A89" w:rsidR="0052371C" w:rsidRDefault="0052371C" w:rsidP="0038204D">
      <w:pPr>
        <w:tabs>
          <w:tab w:val="left" w:pos="-720"/>
          <w:tab w:val="left" w:pos="1440"/>
        </w:tabs>
        <w:suppressAutoHyphens/>
        <w:spacing w:after="0" w:line="240" w:lineRule="auto"/>
        <w:rPr>
          <w:rFonts w:eastAsia="Calibri" w:cstheme="minorHAnsi"/>
          <w:sz w:val="18"/>
          <w:szCs w:val="18"/>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C66CE6" w:rsidRPr="007142B1">
          <w:rPr>
            <w:rStyle w:val="Hyperlink"/>
            <w:rFonts w:eastAsia="Calibri" w:cstheme="minorHAnsi"/>
            <w:sz w:val="18"/>
            <w:szCs w:val="18"/>
            <w:lang w:val="en-CA"/>
          </w:rPr>
          <w:t>geo.cfp@unwomen.or</w:t>
        </w:r>
        <w:r w:rsidR="00C66CE6" w:rsidRPr="007142B1">
          <w:rPr>
            <w:rStyle w:val="Hyperlink"/>
            <w:rFonts w:eastAsia="Calibri" w:cstheme="minorHAnsi"/>
            <w:sz w:val="18"/>
            <w:szCs w:val="18"/>
          </w:rPr>
          <w:t>g</w:t>
        </w:r>
      </w:hyperlink>
    </w:p>
    <w:p w14:paraId="634832EB" w14:textId="77777777" w:rsidR="0052371C" w:rsidRPr="00C66CE6" w:rsidRDefault="0052371C" w:rsidP="0038204D">
      <w:pPr>
        <w:tabs>
          <w:tab w:val="center" w:pos="4320"/>
          <w:tab w:val="right" w:pos="8640"/>
        </w:tabs>
        <w:spacing w:after="0" w:line="240" w:lineRule="auto"/>
        <w:rPr>
          <w:rFonts w:eastAsia="Times New Roman" w:cstheme="minorHAnsi"/>
          <w:b/>
          <w:sz w:val="18"/>
          <w:szCs w:val="18"/>
          <w:lang w:val="ka-GE"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69706F16" w14:textId="77777777" w:rsidR="00057257" w:rsidRPr="00057257" w:rsidRDefault="00057257" w:rsidP="00057257">
            <w:pPr>
              <w:tabs>
                <w:tab w:val="right" w:pos="2880"/>
                <w:tab w:val="left" w:pos="3690"/>
                <w:tab w:val="left" w:pos="5040"/>
              </w:tabs>
              <w:ind w:right="144"/>
              <w:outlineLvl w:val="0"/>
              <w:rPr>
                <w:rFonts w:eastAsia="Times New Roman" w:cstheme="minorHAnsi"/>
                <w:bCs/>
                <w:sz w:val="18"/>
                <w:szCs w:val="18"/>
                <w:lang w:val="en-CA"/>
              </w:rPr>
            </w:pPr>
            <w:r w:rsidRPr="00057257">
              <w:rPr>
                <w:rFonts w:eastAsia="Times New Roman" w:cstheme="minorHAnsi"/>
                <w:bCs/>
                <w:sz w:val="18"/>
                <w:szCs w:val="18"/>
                <w:lang w:val="en-CA"/>
              </w:rPr>
              <w:t>EU for Gender Equality: Together against gender stereotypes and gender-based violence joint programme (phase 2)</w:t>
            </w:r>
          </w:p>
          <w:p w14:paraId="78192EF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792BF19A" w14:textId="3E200BB9" w:rsidR="0052371C" w:rsidRPr="00AA0C41" w:rsidRDefault="0005725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AA0C41">
              <w:rPr>
                <w:rFonts w:asciiTheme="minorHAnsi" w:eastAsia="Times New Roman" w:hAnsiTheme="minorHAnsi" w:cstheme="minorHAnsi"/>
                <w:b/>
                <w:sz w:val="18"/>
                <w:szCs w:val="18"/>
              </w:rPr>
              <w:t>May 6, 2024</w:t>
            </w:r>
          </w:p>
        </w:tc>
        <w:tc>
          <w:tcPr>
            <w:tcW w:w="1440" w:type="dxa"/>
            <w:tcBorders>
              <w:top w:val="single" w:sz="4" w:space="0" w:color="auto"/>
              <w:left w:val="single" w:sz="4" w:space="0" w:color="auto"/>
              <w:bottom w:val="single" w:sz="4" w:space="0" w:color="auto"/>
              <w:right w:val="single" w:sz="4" w:space="0" w:color="auto"/>
            </w:tcBorders>
          </w:tcPr>
          <w:p w14:paraId="25E0978F" w14:textId="1E5D0B9C" w:rsidR="0052371C" w:rsidRPr="00AA0C41" w:rsidRDefault="0005725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AA0C41">
              <w:rPr>
                <w:rFonts w:asciiTheme="minorHAnsi" w:eastAsia="Times New Roman" w:hAnsiTheme="minorHAnsi" w:cstheme="minorHAnsi"/>
                <w:b/>
                <w:sz w:val="18"/>
                <w:szCs w:val="18"/>
              </w:rPr>
              <w:t>19:00 PM TBS Time</w:t>
            </w:r>
          </w:p>
        </w:tc>
      </w:tr>
      <w:tr w:rsidR="0052371C"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7AF0192E"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057257">
              <w:rPr>
                <w:rFonts w:asciiTheme="minorHAnsi" w:eastAsia="Times New Roman" w:hAnsiTheme="minorHAnsi" w:cstheme="minorHAnsi"/>
                <w:b/>
                <w:sz w:val="18"/>
                <w:szCs w:val="18"/>
              </w:rPr>
              <w:t xml:space="preserve"> Salome Ichkiti</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38E0FED7" w:rsidR="0052371C" w:rsidRPr="000E777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0E777E">
              <w:rPr>
                <w:rFonts w:asciiTheme="minorHAnsi" w:eastAsia="Times New Roman" w:hAnsiTheme="minorHAnsi" w:cstheme="minorHAnsi"/>
                <w:b/>
                <w:sz w:val="18"/>
                <w:szCs w:val="18"/>
              </w:rPr>
              <w:t>(</w:t>
            </w:r>
            <w:r w:rsidR="00697C93" w:rsidRPr="000E777E">
              <w:rPr>
                <w:rFonts w:asciiTheme="minorHAnsi" w:eastAsia="Times New Roman" w:hAnsiTheme="minorHAnsi" w:cstheme="minorHAnsi"/>
                <w:b/>
                <w:sz w:val="18"/>
                <w:szCs w:val="18"/>
              </w:rPr>
              <w:t>Via</w:t>
            </w:r>
            <w:r w:rsidRPr="000E777E">
              <w:rPr>
                <w:rFonts w:asciiTheme="minorHAnsi" w:eastAsia="Times New Roman" w:hAnsiTheme="minorHAnsi" w:cstheme="minorHAnsi"/>
                <w:b/>
                <w:sz w:val="18"/>
                <w:szCs w:val="18"/>
              </w:rPr>
              <w:t xml:space="preserve"> e-mail)</w:t>
            </w:r>
            <w:r w:rsidR="000E777E" w:rsidRPr="000E777E">
              <w:rPr>
                <w:rFonts w:asciiTheme="minorHAnsi" w:eastAsia="Times New Roman" w:hAnsiTheme="minorHAnsi" w:cstheme="minorHAnsi"/>
                <w:b/>
                <w:sz w:val="18"/>
                <w:szCs w:val="18"/>
              </w:rPr>
              <w:t xml:space="preserve"> </w:t>
            </w:r>
            <w:hyperlink r:id="rId13" w:history="1">
              <w:r w:rsidR="000E777E" w:rsidRPr="000E777E">
                <w:rPr>
                  <w:rStyle w:val="Hyperlink"/>
                  <w:sz w:val="18"/>
                  <w:szCs w:val="18"/>
                </w:rPr>
                <w:t>geo.cfp@unwomen.org</w:t>
              </w:r>
            </w:hyperlink>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4B3494CD"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0E777E">
              <w:rPr>
                <w:rFonts w:asciiTheme="minorHAnsi" w:eastAsia="Times New Roman" w:hAnsiTheme="minorHAnsi" w:cstheme="minorHAnsi"/>
                <w:b/>
                <w:sz w:val="18"/>
                <w:szCs w:val="18"/>
              </w:rPr>
              <w:t xml:space="preserve"> </w:t>
            </w:r>
            <w:hyperlink r:id="rId14" w:history="1">
              <w:r w:rsidR="000E777E" w:rsidRPr="00A1654A">
                <w:rPr>
                  <w:rStyle w:val="Hyperlink"/>
                  <w:sz w:val="18"/>
                  <w:szCs w:val="18"/>
                </w:rPr>
                <w:t>geo.cfp@unwomen.org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06CBC613"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022F016B" w14:textId="53934322" w:rsidR="0052371C" w:rsidRPr="000E777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0E777E">
              <w:rPr>
                <w:rFonts w:asciiTheme="minorHAnsi" w:eastAsia="Times New Roman" w:hAnsiTheme="minorHAnsi" w:cstheme="minorHAnsi"/>
                <w:b/>
                <w:sz w:val="18"/>
                <w:szCs w:val="18"/>
              </w:rPr>
              <w:t>Date:</w:t>
            </w:r>
            <w:r w:rsidR="00057257" w:rsidRPr="000E777E">
              <w:rPr>
                <w:rFonts w:asciiTheme="minorHAnsi" w:eastAsia="Times New Roman" w:hAnsiTheme="minorHAnsi" w:cstheme="minorHAnsi"/>
                <w:b/>
                <w:sz w:val="18"/>
                <w:szCs w:val="18"/>
              </w:rPr>
              <w:t xml:space="preserve"> May 13, </w:t>
            </w:r>
            <w:proofErr w:type="gramStart"/>
            <w:r w:rsidR="00057257" w:rsidRPr="000E777E">
              <w:rPr>
                <w:rFonts w:asciiTheme="minorHAnsi" w:eastAsia="Times New Roman" w:hAnsiTheme="minorHAnsi" w:cstheme="minorHAnsi"/>
                <w:b/>
                <w:sz w:val="18"/>
                <w:szCs w:val="18"/>
              </w:rPr>
              <w:t>2024</w:t>
            </w:r>
            <w:proofErr w:type="gramEnd"/>
            <w:r w:rsidR="00057257" w:rsidRPr="000E777E">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6056109D" w14:textId="63F85563" w:rsidR="0052371C" w:rsidRPr="000E777E" w:rsidRDefault="00FB31B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0E777E">
              <w:rPr>
                <w:rFonts w:asciiTheme="minorHAnsi" w:eastAsia="Times New Roman" w:hAnsiTheme="minorHAnsi" w:cstheme="minorHAnsi"/>
                <w:b/>
                <w:sz w:val="18"/>
                <w:szCs w:val="18"/>
              </w:rPr>
              <w:t>19:00 PM TBS Time</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p>
        </w:tc>
        <w:tc>
          <w:tcPr>
            <w:tcW w:w="2965" w:type="dxa"/>
            <w:tcBorders>
              <w:top w:val="single" w:sz="4" w:space="0" w:color="auto"/>
              <w:left w:val="single" w:sz="4" w:space="0" w:color="auto"/>
              <w:bottom w:val="single" w:sz="4" w:space="0" w:color="auto"/>
              <w:right w:val="single" w:sz="4" w:space="0" w:color="auto"/>
            </w:tcBorders>
          </w:tcPr>
          <w:p w14:paraId="074E22FC" w14:textId="1AECF90A" w:rsidR="0052371C" w:rsidRPr="0076718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67187">
              <w:rPr>
                <w:rFonts w:asciiTheme="minorHAnsi" w:eastAsia="Times New Roman" w:hAnsiTheme="minorHAnsi" w:cstheme="minorHAnsi"/>
                <w:b/>
                <w:sz w:val="18"/>
                <w:szCs w:val="18"/>
              </w:rPr>
              <w:t>Date:</w:t>
            </w:r>
            <w:r w:rsidR="00FB31B0" w:rsidRPr="00767187">
              <w:rPr>
                <w:rFonts w:asciiTheme="minorHAnsi" w:eastAsia="Times New Roman" w:hAnsiTheme="minorHAnsi" w:cstheme="minorHAnsi"/>
                <w:b/>
                <w:sz w:val="18"/>
                <w:szCs w:val="18"/>
                <w:lang w:val="ka-GE"/>
              </w:rPr>
              <w:t xml:space="preserve"> </w:t>
            </w:r>
            <w:r w:rsidR="00FB31B0" w:rsidRPr="00767187">
              <w:rPr>
                <w:rFonts w:asciiTheme="minorHAnsi" w:eastAsia="Times New Roman" w:hAnsiTheme="minorHAnsi" w:cstheme="minorHAnsi"/>
                <w:b/>
                <w:sz w:val="18"/>
                <w:szCs w:val="18"/>
                <w:lang w:val="en-US"/>
              </w:rPr>
              <w:t>May 25, 2024</w:t>
            </w:r>
          </w:p>
        </w:tc>
        <w:tc>
          <w:tcPr>
            <w:tcW w:w="1440" w:type="dxa"/>
            <w:tcBorders>
              <w:top w:val="single" w:sz="4" w:space="0" w:color="auto"/>
              <w:left w:val="single" w:sz="4" w:space="0" w:color="auto"/>
              <w:bottom w:val="single" w:sz="4" w:space="0" w:color="auto"/>
              <w:right w:val="single" w:sz="4" w:space="0" w:color="auto"/>
            </w:tcBorders>
          </w:tcPr>
          <w:p w14:paraId="5BA0D72A" w14:textId="51A7CCB8" w:rsidR="0052371C" w:rsidRPr="00767187" w:rsidRDefault="00FB31B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67187">
              <w:rPr>
                <w:rFonts w:asciiTheme="minorHAnsi" w:eastAsia="Times New Roman" w:hAnsiTheme="minorHAnsi" w:cstheme="minorHAnsi"/>
                <w:b/>
                <w:sz w:val="18"/>
                <w:szCs w:val="18"/>
              </w:rPr>
              <w:t>19:00 PM TBS Time</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7FFB07A"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6563FF" w14:textId="77777777" w:rsidR="00FB31B0"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p>
          <w:p w14:paraId="151FDE80" w14:textId="17392F7D" w:rsidR="000A52DE" w:rsidRPr="0056586D" w:rsidRDefault="00FB31B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June </w:t>
            </w:r>
            <w:r w:rsidR="004310D0">
              <w:rPr>
                <w:rFonts w:asciiTheme="minorHAnsi" w:eastAsia="Times New Roman" w:hAnsiTheme="minorHAnsi" w:cstheme="minorHAnsi"/>
                <w:b/>
                <w:sz w:val="18"/>
                <w:szCs w:val="18"/>
                <w:lang w:val="ka-GE"/>
              </w:rPr>
              <w:t>2</w:t>
            </w:r>
            <w:r>
              <w:rPr>
                <w:rFonts w:asciiTheme="minorHAnsi" w:eastAsia="Times New Roman" w:hAnsiTheme="minorHAnsi" w:cstheme="minorHAnsi"/>
                <w:b/>
                <w:sz w:val="18"/>
                <w:szCs w:val="18"/>
              </w:rPr>
              <w:t xml:space="preserve">0, </w:t>
            </w:r>
            <w:proofErr w:type="gramStart"/>
            <w:r>
              <w:rPr>
                <w:rFonts w:asciiTheme="minorHAnsi" w:eastAsia="Times New Roman" w:hAnsiTheme="minorHAnsi" w:cstheme="minorHAnsi"/>
                <w:b/>
                <w:sz w:val="18"/>
                <w:szCs w:val="18"/>
              </w:rPr>
              <w:t>2024</w:t>
            </w:r>
            <w:proofErr w:type="gramEnd"/>
            <w:r w:rsidR="00FE26C7">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777777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lastRenderedPageBreak/>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37181A35" w:rsidR="00D45B16" w:rsidRPr="00BF5D21" w:rsidRDefault="00D45B16" w:rsidP="00BF36C9">
            <w:pPr>
              <w:numPr>
                <w:ilvl w:val="0"/>
                <w:numId w:val="1"/>
              </w:numPr>
              <w:tabs>
                <w:tab w:val="center" w:pos="4320"/>
                <w:tab w:val="right" w:pos="8640"/>
              </w:tabs>
              <w:jc w:val="both"/>
              <w:rPr>
                <w:rFonts w:ascii="Calibri body" w:eastAsia="Times New Roman" w:hAnsi="Calibri body" w:cstheme="minorHAnsi"/>
                <w:color w:val="000000"/>
                <w:spacing w:val="-3"/>
                <w:sz w:val="18"/>
                <w:szCs w:val="18"/>
                <w:lang w:val="en-GB" w:eastAsia="en-GB"/>
              </w:rPr>
            </w:pPr>
            <w:r w:rsidRPr="00BF5D21">
              <w:rPr>
                <w:rFonts w:ascii="Calibri body" w:eastAsia="Times New Roman" w:hAnsi="Calibri body" w:cstheme="minorHAnsi"/>
                <w:b/>
                <w:color w:val="000000"/>
                <w:spacing w:val="-3"/>
                <w:sz w:val="18"/>
                <w:szCs w:val="18"/>
                <w:lang w:val="en-GB" w:eastAsia="en-GB"/>
              </w:rPr>
              <w:t>Introduction</w:t>
            </w:r>
            <w:r w:rsidR="00701D63" w:rsidRPr="00BF5D21">
              <w:rPr>
                <w:rFonts w:ascii="Calibri body" w:eastAsia="Times New Roman" w:hAnsi="Calibri body" w:cstheme="minorHAnsi"/>
                <w:color w:val="000000"/>
                <w:spacing w:val="-3"/>
                <w:sz w:val="18"/>
                <w:szCs w:val="18"/>
                <w:lang w:val="en-GB" w:eastAsia="en-GB"/>
              </w:rPr>
              <w:t xml:space="preserve"> </w:t>
            </w:r>
          </w:p>
          <w:p w14:paraId="78D92AAB" w14:textId="77777777" w:rsidR="00D72F1E" w:rsidRPr="00BF5D21" w:rsidRDefault="00D72F1E" w:rsidP="00D72F1E">
            <w:pPr>
              <w:tabs>
                <w:tab w:val="center" w:pos="4320"/>
                <w:tab w:val="right" w:pos="8640"/>
              </w:tabs>
              <w:ind w:left="360"/>
              <w:jc w:val="both"/>
              <w:rPr>
                <w:rFonts w:ascii="Calibri body" w:eastAsia="Times New Roman" w:hAnsi="Calibri body" w:cstheme="minorHAnsi"/>
                <w:color w:val="000000"/>
                <w:spacing w:val="-3"/>
                <w:sz w:val="18"/>
                <w:szCs w:val="18"/>
                <w:lang w:val="en-GB" w:eastAsia="en-GB"/>
              </w:rPr>
            </w:pPr>
          </w:p>
          <w:p w14:paraId="4C46F998" w14:textId="4660C833" w:rsidR="008A5FAB" w:rsidRPr="008A5FA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Despite considerable progress with gender equality in the Eastern Europe and Central Asia Region, </w:t>
            </w:r>
            <w:proofErr w:type="gramStart"/>
            <w:r w:rsidRPr="008A5FAB">
              <w:rPr>
                <w:rFonts w:ascii="Calibri body" w:hAnsi="Calibri body" w:cstheme="majorHAnsi"/>
                <w:bCs/>
                <w:sz w:val="18"/>
                <w:szCs w:val="18"/>
                <w:lang w:val="en-GB"/>
              </w:rPr>
              <w:t>challenges</w:t>
            </w:r>
            <w:proofErr w:type="gramEnd"/>
            <w:r w:rsidRPr="008A5FAB">
              <w:rPr>
                <w:rFonts w:ascii="Calibri body" w:hAnsi="Calibri body" w:cstheme="majorHAnsi"/>
                <w:bCs/>
                <w:sz w:val="18"/>
                <w:szCs w:val="18"/>
                <w:lang w:val="en-GB"/>
              </w:rPr>
              <w:t xml:space="preserve"> and harmful practices such as high prevalence of violence against women, unequal distribution of unpaid domestic and care work, gender-biased sex selection, limited economic opportunities for women, gender pay and income gap, underrepresentation of women in decision making positions etc. still persist. Consequences of the COVID-19 pandemic and the ongoing conflicts in the region, reinforced the traditional gender roles which confine women mainly to their reproductive and maternal roles. In addition, the region has witnessed a wave of conservative, nationalist and xenophobic sentiment, often supported by influential religious institutions. </w:t>
            </w:r>
          </w:p>
          <w:p w14:paraId="59E2263E" w14:textId="77777777" w:rsidR="008A5FAB" w:rsidRPr="008A5FAB" w:rsidRDefault="008A5FAB" w:rsidP="008A5FAB">
            <w:pPr>
              <w:spacing w:line="276" w:lineRule="auto"/>
              <w:jc w:val="both"/>
              <w:rPr>
                <w:rFonts w:ascii="Calibri body" w:hAnsi="Calibri body" w:cstheme="majorHAnsi"/>
                <w:bCs/>
                <w:sz w:val="18"/>
                <w:szCs w:val="18"/>
                <w:lang w:val="en-GB"/>
              </w:rPr>
            </w:pPr>
          </w:p>
          <w:p w14:paraId="53E1F330" w14:textId="77777777" w:rsidR="008A5FAB" w:rsidRPr="008A5FA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Gender norms and stereotypes, including social acceptance of gender-based violence, represent significant barriers towards achieving gender equality. By influencing and defining the way that society perceives women and men, limits can be imposed on an individual’s ability to reach their full potential. Gender stereotyping and discriminatory social norms have been identified by the Convention on the Elimination of All Forms of Discrimination against Women (CEDAW) as a persistent hidden barrier to gender equality and the empowerment of women. Furthermore, they have a negative impact on the social, </w:t>
            </w:r>
            <w:proofErr w:type="gramStart"/>
            <w:r w:rsidRPr="008A5FAB">
              <w:rPr>
                <w:rFonts w:ascii="Calibri body" w:hAnsi="Calibri body" w:cstheme="majorHAnsi"/>
                <w:bCs/>
                <w:sz w:val="18"/>
                <w:szCs w:val="18"/>
                <w:lang w:val="en-GB"/>
              </w:rPr>
              <w:t>economic</w:t>
            </w:r>
            <w:proofErr w:type="gramEnd"/>
            <w:r w:rsidRPr="008A5FAB">
              <w:rPr>
                <w:rFonts w:ascii="Calibri body" w:hAnsi="Calibri body" w:cstheme="majorHAnsi"/>
                <w:bCs/>
                <w:sz w:val="18"/>
                <w:szCs w:val="18"/>
                <w:lang w:val="en-GB"/>
              </w:rPr>
              <w:t xml:space="preserve"> and sustainable development of countries around the world. The unequal distribution of unpaid care work is rooted in persistent gender roles and stereotypes about ‘women’s work’ and ‘men’s work’. Achieving shared responsibility for unpaid care work requires awareness raising and changes in gender roles for both women and men.</w:t>
            </w:r>
          </w:p>
          <w:p w14:paraId="1E3B4A09" w14:textId="77777777" w:rsidR="008A5FAB" w:rsidRPr="008A5FAB" w:rsidRDefault="008A5FAB" w:rsidP="008A5FAB">
            <w:pPr>
              <w:spacing w:line="276" w:lineRule="auto"/>
              <w:jc w:val="both"/>
              <w:rPr>
                <w:rFonts w:ascii="Calibri body" w:hAnsi="Calibri body" w:cstheme="majorHAnsi"/>
                <w:bCs/>
                <w:sz w:val="18"/>
                <w:szCs w:val="18"/>
                <w:lang w:val="en-GB"/>
              </w:rPr>
            </w:pPr>
          </w:p>
          <w:p w14:paraId="63940DB0" w14:textId="2B516154" w:rsidR="008A5FAB" w:rsidRPr="008A5FAB" w:rsidRDefault="00EE262C" w:rsidP="008A5FAB">
            <w:pPr>
              <w:spacing w:line="276" w:lineRule="auto"/>
              <w:jc w:val="both"/>
              <w:rPr>
                <w:rFonts w:ascii="Calibri body" w:hAnsi="Calibri body" w:cstheme="majorHAnsi"/>
                <w:bCs/>
                <w:sz w:val="18"/>
                <w:szCs w:val="18"/>
                <w:lang w:val="en-GB"/>
              </w:rPr>
            </w:pPr>
            <w:r w:rsidRPr="00EE262C">
              <w:rPr>
                <w:rFonts w:ascii="Calibri body" w:hAnsi="Calibri body" w:cstheme="majorHAnsi"/>
                <w:bCs/>
                <w:sz w:val="18"/>
                <w:szCs w:val="18"/>
                <w:lang w:val="en-US"/>
              </w:rPr>
              <w:t>The second phase of the “</w:t>
            </w:r>
            <w:hyperlink r:id="rId15" w:history="1">
              <w:r w:rsidRPr="00EE262C">
                <w:rPr>
                  <w:rStyle w:val="Hyperlink"/>
                  <w:rFonts w:ascii="Calibri body" w:hAnsi="Calibri body" w:cstheme="majorHAnsi"/>
                  <w:bCs/>
                  <w:sz w:val="18"/>
                  <w:szCs w:val="18"/>
                  <w:lang w:val="en-US"/>
                </w:rPr>
                <w:t>EU 4 Gender Equality: Together against gender-stereotypes and gender-based violence</w:t>
              </w:r>
            </w:hyperlink>
            <w:r w:rsidRPr="00EE262C">
              <w:rPr>
                <w:rFonts w:ascii="Calibri body" w:hAnsi="Calibri body" w:cstheme="majorHAnsi"/>
                <w:bCs/>
                <w:sz w:val="18"/>
                <w:szCs w:val="18"/>
                <w:lang w:val="en-US"/>
              </w:rPr>
              <w:t xml:space="preserve">” project, funded by the European Union, started on 1 January 2024 and will continue until 30 June 2026.  The overall objective of the </w:t>
            </w:r>
            <w:proofErr w:type="spellStart"/>
            <w:r w:rsidRPr="00EE262C">
              <w:rPr>
                <w:rFonts w:ascii="Calibri body" w:hAnsi="Calibri body" w:cstheme="majorHAnsi"/>
                <w:bCs/>
                <w:sz w:val="18"/>
                <w:szCs w:val="18"/>
                <w:lang w:val="en-US"/>
              </w:rPr>
              <w:t>programme’s</w:t>
            </w:r>
            <w:proofErr w:type="spellEnd"/>
            <w:r w:rsidRPr="00EE262C">
              <w:rPr>
                <w:rFonts w:ascii="Calibri body" w:hAnsi="Calibri body" w:cstheme="majorHAnsi"/>
                <w:bCs/>
                <w:sz w:val="18"/>
                <w:szCs w:val="18"/>
                <w:lang w:val="en-US"/>
              </w:rPr>
              <w:t xml:space="preserve"> phase II remains – to ensure equal rights and opportunities for women and men of the Eastern Partnership Countries in family and public life.</w:t>
            </w:r>
            <w:r>
              <w:rPr>
                <w:rFonts w:ascii="Calibri body" w:hAnsi="Calibri body" w:cstheme="majorHAnsi"/>
                <w:bCs/>
                <w:sz w:val="18"/>
                <w:szCs w:val="18"/>
                <w:lang w:val="en-US"/>
              </w:rPr>
              <w:t xml:space="preserve"> </w:t>
            </w:r>
            <w:r w:rsidR="008A5FAB" w:rsidRPr="008A5FAB">
              <w:rPr>
                <w:rFonts w:ascii="Calibri body" w:hAnsi="Calibri body" w:cstheme="majorHAnsi"/>
                <w:bCs/>
                <w:sz w:val="18"/>
                <w:szCs w:val="18"/>
                <w:lang w:val="en-GB"/>
              </w:rPr>
              <w:t>Three years of implementation of the phase I of the joint programme in the countries of Eastern Partnership demonstrated that shifting stereotypes takes time and continuous effort. Therefore, the second phase of the programme will continue to address root causes of gender inequalities. Building on lessons learnt, good practices and results achieved in the first phase and recommended by the evaluation of the programme, the key objective of the second phase will be to reduce gender discriminatory attitudes and practices between women and men in institutional and community spheres, including unpaid domestic and care work.  The objective will contribute towards prevention of gender-based violence and have a strong focus on working with men and youth as agents of change.</w:t>
            </w:r>
          </w:p>
          <w:p w14:paraId="41DE11A6" w14:textId="77777777" w:rsidR="008A5FAB" w:rsidRPr="008A5FAB" w:rsidRDefault="008A5FAB" w:rsidP="008A5FAB">
            <w:pPr>
              <w:spacing w:line="276" w:lineRule="auto"/>
              <w:jc w:val="both"/>
              <w:rPr>
                <w:rFonts w:ascii="Calibri body" w:hAnsi="Calibri body" w:cstheme="majorHAnsi"/>
                <w:bCs/>
                <w:sz w:val="18"/>
                <w:szCs w:val="18"/>
                <w:lang w:val="en-GB"/>
              </w:rPr>
            </w:pPr>
          </w:p>
          <w:p w14:paraId="7F57D8AE" w14:textId="77777777" w:rsidR="008A5FAB" w:rsidRPr="008A5FA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68208112" w14:textId="77777777" w:rsidR="008A5FAB" w:rsidRPr="008A5FAB" w:rsidRDefault="008A5FAB" w:rsidP="008A5FAB">
            <w:pPr>
              <w:spacing w:line="276" w:lineRule="auto"/>
              <w:jc w:val="both"/>
              <w:rPr>
                <w:rFonts w:ascii="Calibri body" w:hAnsi="Calibri body" w:cstheme="majorHAnsi"/>
                <w:bCs/>
                <w:sz w:val="18"/>
                <w:szCs w:val="18"/>
                <w:lang w:val="en-US"/>
              </w:rPr>
            </w:pPr>
          </w:p>
          <w:p w14:paraId="4204851A" w14:textId="77777777" w:rsidR="008A5FAB" w:rsidRPr="008A5FAB" w:rsidRDefault="008A5FAB" w:rsidP="008A5FAB">
            <w:pPr>
              <w:spacing w:line="276" w:lineRule="auto"/>
              <w:jc w:val="both"/>
              <w:rPr>
                <w:rFonts w:ascii="Calibri body" w:hAnsi="Calibri body" w:cstheme="majorHAnsi"/>
                <w:bCs/>
                <w:sz w:val="18"/>
                <w:szCs w:val="18"/>
                <w:lang w:val="en-US"/>
              </w:rPr>
            </w:pPr>
            <w:r w:rsidRPr="008A5FAB">
              <w:rPr>
                <w:rFonts w:ascii="Calibri body" w:hAnsi="Calibri body" w:cstheme="majorHAnsi"/>
                <w:bCs/>
                <w:sz w:val="18"/>
                <w:szCs w:val="18"/>
                <w:lang w:val="en-US"/>
              </w:rPr>
              <w:t xml:space="preserve">UN Women will base its awareness raising work in Armenia on  utilization of the </w:t>
            </w:r>
            <w:hyperlink r:id="rId16" w:history="1">
              <w:r w:rsidRPr="008A5FAB">
                <w:rPr>
                  <w:rStyle w:val="Hyperlink"/>
                  <w:rFonts w:ascii="Calibri body" w:hAnsi="Calibri body" w:cstheme="majorHAnsi"/>
                  <w:bCs/>
                  <w:i/>
                  <w:iCs/>
                  <w:sz w:val="18"/>
                  <w:szCs w:val="18"/>
                  <w:lang w:val="en-US"/>
                </w:rPr>
                <w:t>Voice against Violence</w:t>
              </w:r>
            </w:hyperlink>
            <w:r w:rsidRPr="008A5FAB">
              <w:rPr>
                <w:rFonts w:ascii="Calibri body" w:hAnsi="Calibri body" w:cstheme="majorHAnsi"/>
                <w:bCs/>
                <w:sz w:val="18"/>
                <w:szCs w:val="18"/>
                <w:lang w:val="en-US"/>
              </w:rPr>
              <w:t xml:space="preserve"> curriculum developed by UN Women in cooperation with World Association of Girl Guides and Girl Scouts (WAGGGS). It was developed for worldwide use and can be delivered to girl-only or co-educational groups for different age groups. The curriculum provides a wide variety of activities that can be selected to respond to different contexts, learning needs and objectives. </w:t>
            </w:r>
          </w:p>
          <w:p w14:paraId="17850392" w14:textId="77777777" w:rsidR="00A5566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br/>
            </w:r>
            <w:r w:rsidR="00A5566B">
              <w:rPr>
                <w:rFonts w:ascii="Calibri body" w:hAnsi="Calibri body" w:cstheme="majorHAnsi"/>
                <w:bCs/>
                <w:sz w:val="18"/>
                <w:szCs w:val="18"/>
                <w:lang w:val="en-GB"/>
              </w:rPr>
              <w:t xml:space="preserve">Under this </w:t>
            </w:r>
            <w:r w:rsidR="00A5566B" w:rsidRPr="00A5566B">
              <w:rPr>
                <w:rFonts w:ascii="Calibri body" w:hAnsi="Calibri body" w:cstheme="majorHAnsi"/>
                <w:bCs/>
                <w:sz w:val="18"/>
                <w:szCs w:val="18"/>
                <w:lang w:val="en-GB"/>
              </w:rPr>
              <w:t>call for proposals advertised in the framework of the “EU 4 Gender Equality: Together against gender stereotypes and gender-based violence" programme (phase 2), funded by the European Union, implemented jointly by UN Women and UNFPA</w:t>
            </w:r>
            <w:r w:rsidR="00A5566B">
              <w:rPr>
                <w:rFonts w:ascii="Calibri body" w:hAnsi="Calibri body" w:cstheme="majorHAnsi"/>
                <w:bCs/>
                <w:sz w:val="18"/>
                <w:szCs w:val="18"/>
                <w:lang w:val="en-GB"/>
              </w:rPr>
              <w:t>,</w:t>
            </w:r>
            <w:r w:rsidR="00A5566B" w:rsidRPr="00A5566B">
              <w:rPr>
                <w:rFonts w:ascii="Calibri body" w:hAnsi="Calibri body" w:cstheme="majorHAnsi"/>
                <w:bCs/>
                <w:sz w:val="18"/>
                <w:szCs w:val="18"/>
                <w:lang w:val="en-GB"/>
              </w:rPr>
              <w:t xml:space="preserve"> </w:t>
            </w:r>
            <w:r w:rsidRPr="008A5FAB">
              <w:rPr>
                <w:rFonts w:ascii="Calibri body" w:hAnsi="Calibri body" w:cstheme="majorHAnsi"/>
                <w:bCs/>
                <w:sz w:val="18"/>
                <w:szCs w:val="18"/>
                <w:lang w:val="en-GB"/>
              </w:rPr>
              <w:t xml:space="preserve">UN Women seeks </w:t>
            </w:r>
            <w:r w:rsidRPr="008A5FAB">
              <w:rPr>
                <w:rFonts w:ascii="Calibri body" w:hAnsi="Calibri body" w:cstheme="majorHAnsi"/>
                <w:bCs/>
                <w:sz w:val="18"/>
                <w:szCs w:val="18"/>
                <w:lang w:val="en-US"/>
              </w:rPr>
              <w:t xml:space="preserve">to </w:t>
            </w:r>
            <w:r w:rsidRPr="008A5FAB">
              <w:rPr>
                <w:rFonts w:ascii="Calibri body" w:hAnsi="Calibri body" w:cstheme="majorHAnsi"/>
                <w:bCs/>
                <w:sz w:val="18"/>
                <w:szCs w:val="18"/>
                <w:lang w:val="en-GB"/>
              </w:rPr>
              <w:t xml:space="preserve">partner with local NGO in Armenia, to contribute to changing the behaviour of men and women, boys and girls, that is currently all too often influenced by prejudice, gender stereotypes or gender-biased customs and traditions. </w:t>
            </w:r>
          </w:p>
          <w:p w14:paraId="4273100F" w14:textId="2DB86EF2" w:rsidR="008A5FAB" w:rsidRPr="008A5FA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The partnership will target two age groups of both sexes to train, covering </w:t>
            </w:r>
            <w:r w:rsidRPr="008A5FAB">
              <w:rPr>
                <w:rFonts w:ascii="Calibri body" w:hAnsi="Calibri body" w:cstheme="majorHAnsi"/>
                <w:bCs/>
                <w:i/>
                <w:iCs/>
                <w:sz w:val="18"/>
                <w:szCs w:val="18"/>
                <w:lang w:val="en-GB"/>
              </w:rPr>
              <w:t xml:space="preserve">Yerevan, </w:t>
            </w:r>
            <w:proofErr w:type="gramStart"/>
            <w:r w:rsidRPr="008A5FAB">
              <w:rPr>
                <w:rFonts w:ascii="Calibri body" w:hAnsi="Calibri body" w:cstheme="majorHAnsi"/>
                <w:bCs/>
                <w:i/>
                <w:iCs/>
                <w:sz w:val="18"/>
                <w:szCs w:val="18"/>
                <w:lang w:val="en-GB"/>
              </w:rPr>
              <w:t>Shirak</w:t>
            </w:r>
            <w:proofErr w:type="gramEnd"/>
            <w:r w:rsidRPr="008A5FAB">
              <w:rPr>
                <w:rFonts w:ascii="Calibri body" w:hAnsi="Calibri body" w:cstheme="majorHAnsi"/>
                <w:bCs/>
                <w:sz w:val="18"/>
                <w:szCs w:val="18"/>
                <w:lang w:val="en-GB"/>
              </w:rPr>
              <w:t xml:space="preserve"> and </w:t>
            </w:r>
            <w:r w:rsidRPr="008A5FAB">
              <w:rPr>
                <w:rFonts w:ascii="Calibri body" w:hAnsi="Calibri body" w:cstheme="majorHAnsi"/>
                <w:bCs/>
                <w:i/>
                <w:iCs/>
                <w:sz w:val="18"/>
                <w:szCs w:val="18"/>
                <w:lang w:val="en-GB"/>
              </w:rPr>
              <w:t>Kotayk</w:t>
            </w:r>
            <w:r w:rsidRPr="008A5FAB">
              <w:rPr>
                <w:rFonts w:ascii="Calibri body" w:hAnsi="Calibri body" w:cstheme="majorHAnsi"/>
                <w:bCs/>
                <w:sz w:val="18"/>
                <w:szCs w:val="18"/>
                <w:lang w:val="en-GB"/>
              </w:rPr>
              <w:t xml:space="preserve"> regions of Armenia. The curriculum takes participants through six learning stagers: START – </w:t>
            </w:r>
            <w:r w:rsidRPr="008A5FAB">
              <w:rPr>
                <w:rFonts w:ascii="Calibri body" w:hAnsi="Calibri body" w:cstheme="majorHAnsi"/>
                <w:bCs/>
                <w:sz w:val="18"/>
                <w:szCs w:val="18"/>
                <w:lang w:val="en-US"/>
              </w:rPr>
              <w:t xml:space="preserve">leaders create supportive and safe space for children and young people to talk about gender inequality and violence against girls and women; THINK – participants think about gender roles and stereotypes and ways to overcome inequality and discrimination; SUPPORT – participants explore what it means to have an equal and respectful relationships and develop skills to form their own positive relationships and to safely support their friends if experiencing violence; IDENTIFY – participants learn about different forms of violence against girls and women; SPEAK OUT – participants increase </w:t>
            </w:r>
            <w:r w:rsidRPr="008A5FAB">
              <w:rPr>
                <w:rFonts w:ascii="Calibri body" w:hAnsi="Calibri body" w:cstheme="majorHAnsi"/>
                <w:bCs/>
                <w:sz w:val="18"/>
                <w:szCs w:val="18"/>
                <w:lang w:val="en-US"/>
              </w:rPr>
              <w:lastRenderedPageBreak/>
              <w:t>their awareness about the rights of women and girls and develop skills to speak out for them; TAKE ACTION – groups develop ideas/campaign/activities to stop violence against girls and young women in community, nationally or globally.</w:t>
            </w:r>
            <w:r w:rsidRPr="008A5FAB">
              <w:rPr>
                <w:rFonts w:ascii="Calibri body" w:hAnsi="Calibri body" w:cstheme="majorHAnsi"/>
                <w:bCs/>
                <w:sz w:val="18"/>
                <w:szCs w:val="18"/>
                <w:lang w:val="en-GB"/>
              </w:rPr>
              <w:t xml:space="preserve"> The training can be delivered at group meetings over longer period or through a series of shorter camps or seminar events, depending on agreement between UN Women and the selected organization. The main intention is to reach 200 girls and young women and 100 boys and young men through this manual across the country.</w:t>
            </w:r>
          </w:p>
          <w:p w14:paraId="533BF294" w14:textId="77777777" w:rsidR="008A5FAB" w:rsidRPr="008A5FAB" w:rsidRDefault="008A5FAB" w:rsidP="008A5FAB">
            <w:pPr>
              <w:spacing w:line="276" w:lineRule="auto"/>
              <w:jc w:val="both"/>
              <w:rPr>
                <w:rFonts w:ascii="Calibri body" w:hAnsi="Calibri body" w:cstheme="majorHAnsi"/>
                <w:b/>
                <w:bCs/>
                <w:sz w:val="18"/>
                <w:szCs w:val="18"/>
                <w:lang w:val="en-GB"/>
              </w:rPr>
            </w:pPr>
            <w:r w:rsidRPr="008A5FAB">
              <w:rPr>
                <w:rFonts w:ascii="Calibri body" w:hAnsi="Calibri body" w:cstheme="majorHAnsi"/>
                <w:b/>
                <w:bCs/>
                <w:sz w:val="18"/>
                <w:szCs w:val="18"/>
                <w:lang w:val="en-GB"/>
              </w:rPr>
              <w:br/>
              <w:t>Objectives of the assignment</w:t>
            </w:r>
          </w:p>
          <w:p w14:paraId="3DD5FD85" w14:textId="77777777" w:rsidR="008A5FAB" w:rsidRPr="008A5FAB" w:rsidRDefault="008A5FAB" w:rsidP="008A5FAB">
            <w:p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The overall objective of the assignment is to: </w:t>
            </w:r>
          </w:p>
          <w:p w14:paraId="556BA46B" w14:textId="47C62DD2" w:rsidR="008A5FAB" w:rsidRPr="008A5FAB" w:rsidRDefault="008A5FAB" w:rsidP="008A5FAB">
            <w:pPr>
              <w:numPr>
                <w:ilvl w:val="0"/>
                <w:numId w:val="64"/>
              </w:num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To </w:t>
            </w:r>
            <w:r>
              <w:rPr>
                <w:rFonts w:ascii="Calibri body" w:hAnsi="Calibri body" w:cstheme="majorHAnsi"/>
                <w:bCs/>
                <w:sz w:val="18"/>
                <w:szCs w:val="18"/>
                <w:lang w:val="en-GB"/>
              </w:rPr>
              <w:t xml:space="preserve">translate, </w:t>
            </w:r>
            <w:r w:rsidRPr="008A5FAB">
              <w:rPr>
                <w:rFonts w:ascii="Calibri body" w:hAnsi="Calibri body" w:cstheme="majorHAnsi"/>
                <w:bCs/>
                <w:sz w:val="18"/>
                <w:szCs w:val="18"/>
                <w:lang w:val="en-GB"/>
              </w:rPr>
              <w:t xml:space="preserve">review and adapt the Voices Against Violence curricula and related </w:t>
            </w:r>
            <w:proofErr w:type="gramStart"/>
            <w:r w:rsidRPr="008A5FAB">
              <w:rPr>
                <w:rFonts w:ascii="Calibri body" w:hAnsi="Calibri body" w:cstheme="majorHAnsi"/>
                <w:bCs/>
                <w:sz w:val="18"/>
                <w:szCs w:val="18"/>
                <w:lang w:val="en-GB"/>
              </w:rPr>
              <w:t>activities</w:t>
            </w:r>
            <w:r>
              <w:rPr>
                <w:rFonts w:ascii="Calibri body" w:hAnsi="Calibri body" w:cstheme="majorHAnsi"/>
                <w:bCs/>
                <w:sz w:val="18"/>
                <w:szCs w:val="18"/>
                <w:lang w:val="en-GB"/>
              </w:rPr>
              <w:t>;</w:t>
            </w:r>
            <w:proofErr w:type="gramEnd"/>
          </w:p>
          <w:p w14:paraId="1D8F7331" w14:textId="08E7B6A0" w:rsidR="008A5FAB" w:rsidRPr="008A5FAB" w:rsidRDefault="008A5FAB" w:rsidP="008A5FAB">
            <w:pPr>
              <w:numPr>
                <w:ilvl w:val="0"/>
                <w:numId w:val="64"/>
              </w:numPr>
              <w:spacing w:line="276" w:lineRule="auto"/>
              <w:jc w:val="both"/>
              <w:rPr>
                <w:rFonts w:ascii="Calibri body" w:hAnsi="Calibri body" w:cstheme="majorHAnsi"/>
                <w:bCs/>
                <w:sz w:val="18"/>
                <w:szCs w:val="18"/>
                <w:lang w:val="en-GB"/>
              </w:rPr>
            </w:pPr>
            <w:r w:rsidRPr="008A5FAB">
              <w:rPr>
                <w:rFonts w:ascii="Calibri body" w:hAnsi="Calibri body" w:cstheme="majorHAnsi"/>
                <w:bCs/>
                <w:sz w:val="18"/>
                <w:szCs w:val="18"/>
                <w:lang w:val="en-GB"/>
              </w:rPr>
              <w:t xml:space="preserve">To </w:t>
            </w:r>
            <w:r>
              <w:rPr>
                <w:rFonts w:ascii="Calibri body" w:hAnsi="Calibri body" w:cstheme="majorHAnsi"/>
                <w:bCs/>
                <w:sz w:val="18"/>
                <w:szCs w:val="18"/>
                <w:lang w:val="en-GB"/>
              </w:rPr>
              <w:t>partner with</w:t>
            </w:r>
            <w:r w:rsidRPr="008A5FAB">
              <w:rPr>
                <w:rFonts w:ascii="Calibri body" w:hAnsi="Calibri body" w:cstheme="majorHAnsi"/>
                <w:bCs/>
                <w:sz w:val="18"/>
                <w:szCs w:val="18"/>
                <w:lang w:val="en-GB"/>
              </w:rPr>
              <w:t xml:space="preserve"> the local CSO</w:t>
            </w:r>
            <w:r>
              <w:rPr>
                <w:rFonts w:ascii="Calibri body" w:hAnsi="Calibri body" w:cstheme="majorHAnsi"/>
                <w:bCs/>
                <w:sz w:val="18"/>
                <w:szCs w:val="18"/>
                <w:lang w:val="en-GB"/>
              </w:rPr>
              <w:t>/activist</w:t>
            </w:r>
            <w:r w:rsidRPr="008A5FAB">
              <w:rPr>
                <w:rFonts w:ascii="Calibri body" w:hAnsi="Calibri body" w:cstheme="majorHAnsi"/>
                <w:bCs/>
                <w:sz w:val="18"/>
                <w:szCs w:val="18"/>
                <w:lang w:val="en-GB"/>
              </w:rPr>
              <w:t xml:space="preserve"> to implement the activity covering 200 girls and 100 boys in </w:t>
            </w:r>
            <w:proofErr w:type="gramStart"/>
            <w:r w:rsidRPr="008A5FAB">
              <w:rPr>
                <w:rFonts w:ascii="Calibri body" w:hAnsi="Calibri body" w:cstheme="majorHAnsi"/>
                <w:bCs/>
                <w:sz w:val="18"/>
                <w:szCs w:val="18"/>
                <w:lang w:val="en-GB"/>
              </w:rPr>
              <w:t>total;</w:t>
            </w:r>
            <w:proofErr w:type="gramEnd"/>
          </w:p>
          <w:p w14:paraId="2342DBDF" w14:textId="7FD4C5B8" w:rsidR="008A5FAB" w:rsidRPr="008A5FAB" w:rsidRDefault="008A5FAB" w:rsidP="008A5FAB">
            <w:pPr>
              <w:numPr>
                <w:ilvl w:val="0"/>
                <w:numId w:val="64"/>
              </w:numPr>
              <w:spacing w:line="276" w:lineRule="auto"/>
              <w:jc w:val="both"/>
              <w:rPr>
                <w:rFonts w:ascii="Calibri body" w:hAnsi="Calibri body" w:cstheme="majorHAnsi"/>
                <w:bCs/>
                <w:sz w:val="18"/>
                <w:szCs w:val="18"/>
                <w:lang w:val="en-GB"/>
              </w:rPr>
            </w:pPr>
            <w:r>
              <w:rPr>
                <w:rFonts w:ascii="Calibri body" w:hAnsi="Calibri body" w:cstheme="majorHAnsi"/>
                <w:bCs/>
                <w:sz w:val="18"/>
                <w:szCs w:val="18"/>
                <w:lang w:val="en-GB"/>
              </w:rPr>
              <w:t>To o</w:t>
            </w:r>
            <w:r w:rsidRPr="008A5FAB">
              <w:rPr>
                <w:rFonts w:ascii="Calibri body" w:hAnsi="Calibri body" w:cstheme="majorHAnsi"/>
                <w:bCs/>
                <w:sz w:val="18"/>
                <w:szCs w:val="18"/>
                <w:lang w:val="en-GB"/>
              </w:rPr>
              <w:t>rganize training</w:t>
            </w:r>
            <w:r w:rsidRPr="008A5FAB">
              <w:rPr>
                <w:rFonts w:ascii="Calibri body" w:hAnsi="Calibri body" w:cstheme="majorHAnsi"/>
                <w:bCs/>
                <w:sz w:val="18"/>
                <w:szCs w:val="18"/>
                <w:lang w:val="en-US"/>
              </w:rPr>
              <w:t>s</w:t>
            </w:r>
            <w:r w:rsidRPr="008A5FAB">
              <w:rPr>
                <w:rFonts w:ascii="Calibri body" w:hAnsi="Calibri body" w:cstheme="majorHAnsi"/>
                <w:bCs/>
                <w:sz w:val="18"/>
                <w:szCs w:val="18"/>
                <w:lang w:val="en-GB"/>
              </w:rPr>
              <w:t xml:space="preserve"> / sessions for these groups according to the Voice against Violence curriculum. </w:t>
            </w:r>
          </w:p>
          <w:p w14:paraId="2149BC50" w14:textId="56F9AEE9" w:rsidR="00D45B16" w:rsidRPr="00BF5D21" w:rsidRDefault="00D45B16" w:rsidP="0038204D">
            <w:pPr>
              <w:tabs>
                <w:tab w:val="center" w:pos="4320"/>
                <w:tab w:val="right" w:pos="8640"/>
              </w:tabs>
              <w:rPr>
                <w:rFonts w:ascii="Calibri body" w:eastAsia="Times New Roman" w:hAnsi="Calibri body" w:cstheme="minorHAnsi"/>
                <w:color w:val="000000"/>
                <w:spacing w:val="-3"/>
                <w:sz w:val="18"/>
                <w:szCs w:val="18"/>
                <w:lang w:val="en-GB" w:eastAsia="en-GB"/>
              </w:rPr>
            </w:pPr>
          </w:p>
        </w:tc>
      </w:tr>
      <w:tr w:rsidR="00D45B16" w:rsidRPr="0056586D" w14:paraId="4E48E7A9" w14:textId="77777777" w:rsidTr="00A15534">
        <w:tc>
          <w:tcPr>
            <w:tcW w:w="9629" w:type="dxa"/>
          </w:tcPr>
          <w:p w14:paraId="73C4AD7C" w14:textId="743C3A26" w:rsidR="00D45B16" w:rsidRPr="00D72F1E"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D72F1E">
              <w:rPr>
                <w:rFonts w:asciiTheme="minorHAnsi" w:eastAsia="Times New Roman" w:hAnsiTheme="minorHAnsi" w:cstheme="minorHAnsi"/>
                <w:b/>
                <w:color w:val="000000"/>
                <w:spacing w:val="-3"/>
                <w:sz w:val="18"/>
                <w:szCs w:val="18"/>
                <w:lang w:val="en-GB" w:eastAsia="en-GB"/>
              </w:rPr>
              <w:lastRenderedPageBreak/>
              <w:t>Description of required services/results</w:t>
            </w:r>
            <w:r w:rsidR="00701D63" w:rsidRPr="00D72F1E">
              <w:rPr>
                <w:rFonts w:asciiTheme="minorHAnsi" w:eastAsia="Times New Roman" w:hAnsiTheme="minorHAnsi" w:cstheme="minorHAnsi"/>
                <w:color w:val="000000"/>
                <w:spacing w:val="-3"/>
                <w:sz w:val="18"/>
                <w:szCs w:val="18"/>
                <w:lang w:val="en-GB" w:eastAsia="en-GB"/>
              </w:rPr>
              <w:t xml:space="preserve"> </w:t>
            </w:r>
          </w:p>
          <w:p w14:paraId="0CED5BF4" w14:textId="77777777" w:rsidR="00BF0379" w:rsidRPr="00D72F1E" w:rsidRDefault="00BF0379" w:rsidP="0038204D">
            <w:pPr>
              <w:jc w:val="both"/>
              <w:rPr>
                <w:rFonts w:asciiTheme="minorHAnsi" w:hAnsiTheme="minorHAnsi" w:cstheme="minorHAnsi"/>
                <w:b/>
                <w:color w:val="000000"/>
                <w:spacing w:val="-3"/>
                <w:sz w:val="18"/>
                <w:szCs w:val="18"/>
              </w:rPr>
            </w:pPr>
          </w:p>
          <w:p w14:paraId="08ED5A50" w14:textId="4DF77C3F" w:rsidR="00FB31B0" w:rsidRPr="00BF5D21" w:rsidRDefault="008D5531" w:rsidP="00FB31B0">
            <w:pPr>
              <w:autoSpaceDE w:val="0"/>
              <w:autoSpaceDN w:val="0"/>
              <w:adjustRightInd w:val="0"/>
              <w:spacing w:line="276" w:lineRule="auto"/>
              <w:jc w:val="both"/>
              <w:rPr>
                <w:rFonts w:ascii="Calibri body" w:hAnsi="Calibri body" w:cstheme="majorHAnsi"/>
                <w:bCs/>
                <w:color w:val="000000"/>
                <w:sz w:val="18"/>
                <w:szCs w:val="18"/>
              </w:rPr>
            </w:pPr>
            <w:r w:rsidRPr="008D5531">
              <w:rPr>
                <w:rFonts w:ascii="Calibri body" w:hAnsi="Calibri body" w:cstheme="majorHAnsi"/>
                <w:bCs/>
                <w:color w:val="000000"/>
                <w:sz w:val="18"/>
                <w:szCs w:val="18"/>
              </w:rPr>
              <w:t xml:space="preserve">Through this Call for Proposal, UN Women within the “EU 4 Gender Equality: Together against gender stereotypes and gender-based violence” programme (phase II), implemented jointly with UNFPA and funded by the EU, </w:t>
            </w:r>
            <w:r>
              <w:rPr>
                <w:rFonts w:ascii="Calibri body" w:hAnsi="Calibri body" w:cstheme="majorHAnsi"/>
                <w:bCs/>
                <w:color w:val="000000"/>
                <w:sz w:val="18"/>
                <w:szCs w:val="18"/>
              </w:rPr>
              <w:t>seeks to identify a c</w:t>
            </w:r>
            <w:r w:rsidR="00FB31B0" w:rsidRPr="00BF5D21">
              <w:rPr>
                <w:rFonts w:ascii="Calibri body" w:hAnsi="Calibri body" w:cstheme="majorHAnsi"/>
                <w:bCs/>
                <w:color w:val="000000"/>
                <w:sz w:val="18"/>
                <w:szCs w:val="18"/>
              </w:rPr>
              <w:t>ontractor responsible for the implementation of the following activities:</w:t>
            </w:r>
          </w:p>
          <w:p w14:paraId="02309928" w14:textId="593CD58C" w:rsidR="008A5FAB" w:rsidRPr="008A5FAB" w:rsidRDefault="008A5FAB" w:rsidP="008A5FAB">
            <w:pPr>
              <w:pStyle w:val="ListParagraph"/>
              <w:numPr>
                <w:ilvl w:val="0"/>
                <w:numId w:val="65"/>
              </w:numPr>
              <w:spacing w:line="276" w:lineRule="auto"/>
              <w:jc w:val="both"/>
              <w:rPr>
                <w:rFonts w:ascii="Calibri body" w:hAnsi="Calibri body" w:cstheme="majorHAnsi"/>
                <w:sz w:val="18"/>
                <w:szCs w:val="18"/>
              </w:rPr>
            </w:pPr>
            <w:r>
              <w:rPr>
                <w:rFonts w:ascii="Calibri body" w:hAnsi="Calibri body" w:cstheme="majorHAnsi"/>
                <w:sz w:val="18"/>
                <w:szCs w:val="18"/>
              </w:rPr>
              <w:t>To i</w:t>
            </w:r>
            <w:r w:rsidRPr="008A5FAB">
              <w:rPr>
                <w:rFonts w:ascii="Calibri body" w:hAnsi="Calibri body" w:cstheme="majorHAnsi"/>
                <w:sz w:val="18"/>
                <w:szCs w:val="18"/>
              </w:rPr>
              <w:t xml:space="preserve">dentify and form groups of young people of different age categories (12-16 and 17-25), covering 200 girls and 100 boys in total in the </w:t>
            </w:r>
            <w:r>
              <w:rPr>
                <w:rFonts w:ascii="Calibri body" w:hAnsi="Calibri body" w:cstheme="majorHAnsi"/>
                <w:sz w:val="18"/>
                <w:szCs w:val="18"/>
              </w:rPr>
              <w:t xml:space="preserve">mentioned </w:t>
            </w:r>
            <w:r w:rsidRPr="008A5FAB">
              <w:rPr>
                <w:rFonts w:ascii="Calibri body" w:hAnsi="Calibri body" w:cstheme="majorHAnsi"/>
                <w:sz w:val="18"/>
                <w:szCs w:val="18"/>
              </w:rPr>
              <w:t xml:space="preserve">regions of </w:t>
            </w:r>
            <w:proofErr w:type="gramStart"/>
            <w:r w:rsidRPr="008A5FAB">
              <w:rPr>
                <w:rFonts w:ascii="Calibri body" w:hAnsi="Calibri body" w:cstheme="majorHAnsi"/>
                <w:sz w:val="18"/>
                <w:szCs w:val="18"/>
              </w:rPr>
              <w:t>Armenia;</w:t>
            </w:r>
            <w:proofErr w:type="gramEnd"/>
          </w:p>
          <w:p w14:paraId="5B4056A5" w14:textId="51BAC9DD" w:rsidR="00FB31B0" w:rsidRPr="008A5FAB" w:rsidRDefault="008A5FAB" w:rsidP="008A5FAB">
            <w:pPr>
              <w:pStyle w:val="ListParagraph"/>
              <w:numPr>
                <w:ilvl w:val="0"/>
                <w:numId w:val="65"/>
              </w:numPr>
              <w:spacing w:line="276" w:lineRule="auto"/>
              <w:jc w:val="both"/>
              <w:rPr>
                <w:rFonts w:ascii="Calibri body" w:hAnsi="Calibri body" w:cstheme="majorHAnsi"/>
                <w:sz w:val="18"/>
                <w:szCs w:val="18"/>
                <w:lang w:val="en-US"/>
              </w:rPr>
            </w:pPr>
            <w:r>
              <w:rPr>
                <w:rFonts w:ascii="Calibri body" w:hAnsi="Calibri body" w:cstheme="majorHAnsi"/>
                <w:sz w:val="18"/>
                <w:szCs w:val="18"/>
              </w:rPr>
              <w:t>To t</w:t>
            </w:r>
            <w:r w:rsidRPr="008A5FAB">
              <w:rPr>
                <w:rFonts w:ascii="Calibri body" w:hAnsi="Calibri body" w:cstheme="majorHAnsi"/>
                <w:sz w:val="18"/>
                <w:szCs w:val="18"/>
              </w:rPr>
              <w:t xml:space="preserve">rain the identified groups using the Voice against Violence curriculum: a) 12-16 age group – will look at sexual harassment and bullying, early and forced marriage, dating violence, sexualization and domestic violence; b) The so-called older years – the 17-25 age group – will look at dating violence, early and forced marriage, domestic violence, sexualization and sexual violence.  </w:t>
            </w:r>
          </w:p>
        </w:tc>
      </w:tr>
      <w:tr w:rsidR="00D45B16" w:rsidRPr="0056586D" w14:paraId="4C610FB7" w14:textId="77777777" w:rsidTr="00A15534">
        <w:tc>
          <w:tcPr>
            <w:tcW w:w="9629" w:type="dxa"/>
          </w:tcPr>
          <w:p w14:paraId="5DEC1190" w14:textId="3ACDB00D" w:rsidR="00D45B16" w:rsidRPr="002B7729"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D72F1E">
              <w:rPr>
                <w:rFonts w:asciiTheme="minorHAnsi" w:eastAsia="Times New Roman" w:hAnsiTheme="minorHAnsi" w:cstheme="minorHAnsi"/>
                <w:b/>
                <w:color w:val="000000"/>
                <w:spacing w:val="-3"/>
                <w:sz w:val="18"/>
                <w:szCs w:val="18"/>
                <w:lang w:val="en-GB" w:eastAsia="en-GB"/>
              </w:rPr>
              <w:t>Timeframe:</w:t>
            </w:r>
            <w:r w:rsidR="00A035E0" w:rsidRPr="00D72F1E">
              <w:rPr>
                <w:rFonts w:asciiTheme="minorHAnsi" w:eastAsia="Times New Roman" w:hAnsiTheme="minorHAnsi" w:cstheme="minorHAnsi"/>
                <w:b/>
                <w:color w:val="000000"/>
                <w:spacing w:val="-3"/>
                <w:sz w:val="18"/>
                <w:szCs w:val="18"/>
                <w:lang w:val="en-GB" w:eastAsia="en-GB"/>
              </w:rPr>
              <w:t xml:space="preserve"> </w:t>
            </w:r>
            <w:r w:rsidRPr="00D72F1E">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D72F1E">
              <w:rPr>
                <w:rFonts w:asciiTheme="minorHAnsi" w:eastAsia="Times New Roman" w:hAnsiTheme="minorHAnsi" w:cstheme="minorHAnsi"/>
                <w:b/>
                <w:color w:val="000000"/>
                <w:spacing w:val="-3"/>
                <w:sz w:val="18"/>
                <w:szCs w:val="18"/>
                <w:lang w:val="en-GB" w:eastAsia="en-GB"/>
              </w:rPr>
              <w:t xml:space="preserve"> </w:t>
            </w:r>
            <w:r w:rsidR="00701D63" w:rsidRPr="00D72F1E">
              <w:rPr>
                <w:rFonts w:asciiTheme="minorHAnsi" w:eastAsia="Times New Roman" w:hAnsiTheme="minorHAnsi" w:cstheme="minorHAnsi"/>
                <w:b/>
                <w:spacing w:val="-3"/>
                <w:sz w:val="18"/>
                <w:szCs w:val="18"/>
                <w:lang w:val="en-GB" w:eastAsia="en-GB"/>
              </w:rPr>
              <w:t>[Please elaborate]</w:t>
            </w:r>
          </w:p>
          <w:p w14:paraId="724E9BD3" w14:textId="77777777" w:rsidR="002B7729" w:rsidRPr="00D72F1E" w:rsidRDefault="002B7729" w:rsidP="002B7729">
            <w:pPr>
              <w:tabs>
                <w:tab w:val="center" w:pos="4320"/>
                <w:tab w:val="right" w:pos="8640"/>
              </w:tabs>
              <w:ind w:left="360"/>
              <w:jc w:val="both"/>
              <w:rPr>
                <w:rFonts w:asciiTheme="minorHAnsi" w:eastAsia="Times New Roman" w:hAnsiTheme="minorHAnsi" w:cstheme="minorHAnsi"/>
                <w:b/>
                <w:color w:val="000000"/>
                <w:spacing w:val="-3"/>
                <w:sz w:val="18"/>
                <w:szCs w:val="18"/>
                <w:lang w:val="en-GB" w:eastAsia="en-GB"/>
              </w:rPr>
            </w:pPr>
          </w:p>
          <w:p w14:paraId="0451BB51" w14:textId="0C79E296" w:rsidR="00FB31B0" w:rsidRPr="00BF5D21" w:rsidRDefault="002B7729" w:rsidP="00FB31B0">
            <w:pPr>
              <w:autoSpaceDE w:val="0"/>
              <w:autoSpaceDN w:val="0"/>
              <w:adjustRightInd w:val="0"/>
              <w:spacing w:line="276" w:lineRule="auto"/>
              <w:jc w:val="both"/>
              <w:rPr>
                <w:rFonts w:ascii="Calibri body" w:hAnsi="Calibri body" w:cstheme="majorHAnsi"/>
                <w:sz w:val="18"/>
                <w:szCs w:val="18"/>
                <w:lang w:val="en-US"/>
              </w:rPr>
            </w:pPr>
            <w:r w:rsidRPr="00026F62">
              <w:rPr>
                <w:rFonts w:ascii="Calibri body" w:hAnsi="Calibri body" w:cstheme="majorHAnsi"/>
                <w:sz w:val="18"/>
                <w:szCs w:val="18"/>
                <w:lang w:val="en-US"/>
              </w:rPr>
              <w:t xml:space="preserve">Start date and end date for completion of required services/results should be within </w:t>
            </w:r>
            <w:r w:rsidR="00FB31B0" w:rsidRPr="00026F62">
              <w:rPr>
                <w:rFonts w:ascii="Calibri body" w:hAnsi="Calibri body" w:cstheme="majorHAnsi"/>
                <w:sz w:val="18"/>
                <w:szCs w:val="18"/>
                <w:lang w:val="en-US"/>
              </w:rPr>
              <w:t xml:space="preserve">June </w:t>
            </w:r>
            <w:r w:rsidR="004310D0" w:rsidRPr="009A7D24">
              <w:rPr>
                <w:rFonts w:ascii="Calibri body" w:hAnsi="Calibri body" w:cstheme="majorHAnsi"/>
                <w:sz w:val="18"/>
                <w:szCs w:val="18"/>
                <w:lang w:val="en-US"/>
              </w:rPr>
              <w:t>2</w:t>
            </w:r>
            <w:r w:rsidR="00FB31B0" w:rsidRPr="00026F62">
              <w:rPr>
                <w:rFonts w:ascii="Calibri body" w:hAnsi="Calibri body" w:cstheme="majorHAnsi"/>
                <w:sz w:val="18"/>
                <w:szCs w:val="18"/>
                <w:lang w:val="en-US"/>
              </w:rPr>
              <w:t xml:space="preserve">0, 2024 – </w:t>
            </w:r>
            <w:r w:rsidR="00031FC8" w:rsidRPr="00026F62">
              <w:rPr>
                <w:rFonts w:ascii="Calibri body" w:hAnsi="Calibri body" w:cstheme="majorHAnsi"/>
                <w:sz w:val="18"/>
                <w:szCs w:val="18"/>
                <w:lang w:val="en-US"/>
              </w:rPr>
              <w:t>November</w:t>
            </w:r>
            <w:r w:rsidR="00FB31B0" w:rsidRPr="00026F62">
              <w:rPr>
                <w:rFonts w:ascii="Calibri body" w:hAnsi="Calibri body" w:cstheme="majorHAnsi"/>
                <w:sz w:val="18"/>
                <w:szCs w:val="18"/>
                <w:lang w:val="en-US"/>
              </w:rPr>
              <w:t xml:space="preserve"> </w:t>
            </w:r>
            <w:r w:rsidR="008A5FAB" w:rsidRPr="00026F62">
              <w:rPr>
                <w:rFonts w:ascii="Calibri body" w:hAnsi="Calibri body" w:cstheme="majorHAnsi"/>
                <w:sz w:val="18"/>
                <w:szCs w:val="18"/>
                <w:lang w:val="en-US"/>
              </w:rPr>
              <w:t>2</w:t>
            </w:r>
            <w:r w:rsidR="00FB31B0" w:rsidRPr="00026F62">
              <w:rPr>
                <w:rFonts w:ascii="Calibri body" w:hAnsi="Calibri body" w:cstheme="majorHAnsi"/>
                <w:sz w:val="18"/>
                <w:szCs w:val="18"/>
                <w:lang w:val="en-US"/>
              </w:rPr>
              <w:t>0, 2025</w:t>
            </w:r>
          </w:p>
          <w:p w14:paraId="446AB2FB" w14:textId="0272D1DE" w:rsidR="00BF0379" w:rsidRPr="00D72F1E"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2183A68E" w:rsidR="00D45B16" w:rsidRPr="008A5FAB" w:rsidRDefault="00D45B16" w:rsidP="00BF36C9">
            <w:pPr>
              <w:numPr>
                <w:ilvl w:val="0"/>
                <w:numId w:val="1"/>
              </w:numPr>
              <w:tabs>
                <w:tab w:val="center" w:pos="4320"/>
                <w:tab w:val="right" w:pos="8640"/>
              </w:tabs>
              <w:jc w:val="both"/>
              <w:rPr>
                <w:rFonts w:ascii="Calibri body" w:eastAsia="Times New Roman" w:hAnsi="Calibri body" w:cstheme="minorHAnsi"/>
                <w:color w:val="000000"/>
                <w:spacing w:val="-3"/>
                <w:sz w:val="18"/>
                <w:szCs w:val="18"/>
                <w:lang w:val="en-GB" w:eastAsia="en-GB"/>
              </w:rPr>
            </w:pPr>
            <w:r w:rsidRPr="00BF5D21">
              <w:rPr>
                <w:rFonts w:ascii="Calibri body" w:eastAsia="Times New Roman" w:hAnsi="Calibri body" w:cstheme="minorHAnsi"/>
                <w:b/>
                <w:color w:val="000000"/>
                <w:spacing w:val="-3"/>
                <w:sz w:val="18"/>
                <w:szCs w:val="18"/>
                <w:lang w:val="en-GB" w:eastAsia="en-GB"/>
              </w:rPr>
              <w:t>Competencies:</w:t>
            </w:r>
            <w:r w:rsidR="00701D63" w:rsidRPr="00BF5D21">
              <w:rPr>
                <w:rFonts w:ascii="Calibri body" w:eastAsia="Times New Roman" w:hAnsi="Calibri body" w:cstheme="minorHAnsi"/>
                <w:color w:val="000000"/>
                <w:spacing w:val="-3"/>
                <w:sz w:val="18"/>
                <w:szCs w:val="18"/>
                <w:lang w:val="en-GB" w:eastAsia="en-GB"/>
              </w:rPr>
              <w:t xml:space="preserve"> </w:t>
            </w:r>
          </w:p>
          <w:p w14:paraId="426764B9" w14:textId="77777777" w:rsidR="008A5FAB" w:rsidRPr="00BF5D21" w:rsidRDefault="008A5FAB" w:rsidP="008A5FAB">
            <w:pPr>
              <w:tabs>
                <w:tab w:val="center" w:pos="4320"/>
                <w:tab w:val="right" w:pos="8640"/>
              </w:tabs>
              <w:ind w:left="360"/>
              <w:jc w:val="both"/>
              <w:rPr>
                <w:rFonts w:ascii="Calibri body" w:eastAsia="Times New Roman" w:hAnsi="Calibri body" w:cstheme="minorHAnsi"/>
                <w:color w:val="000000"/>
                <w:spacing w:val="-3"/>
                <w:sz w:val="18"/>
                <w:szCs w:val="18"/>
                <w:lang w:val="en-GB" w:eastAsia="en-GB"/>
              </w:rPr>
            </w:pPr>
          </w:p>
          <w:p w14:paraId="69070AB5" w14:textId="77777777" w:rsidR="00D72F1E" w:rsidRPr="00BF5D21" w:rsidRDefault="00D72F1E" w:rsidP="00D72F1E">
            <w:pPr>
              <w:pBdr>
                <w:top w:val="nil"/>
                <w:left w:val="nil"/>
                <w:bottom w:val="nil"/>
                <w:right w:val="nil"/>
                <w:between w:val="nil"/>
              </w:pBdr>
              <w:spacing w:line="276" w:lineRule="auto"/>
              <w:jc w:val="both"/>
              <w:rPr>
                <w:rFonts w:ascii="Calibri body" w:eastAsia="Verdana" w:hAnsi="Calibri body" w:cstheme="majorHAnsi"/>
                <w:b/>
                <w:bCs/>
                <w:sz w:val="18"/>
                <w:szCs w:val="18"/>
              </w:rPr>
            </w:pPr>
            <w:r w:rsidRPr="00BF5D21">
              <w:rPr>
                <w:rFonts w:ascii="Calibri body" w:eastAsia="Verdana" w:hAnsi="Calibri body" w:cstheme="majorHAnsi"/>
                <w:b/>
                <w:bCs/>
                <w:sz w:val="18"/>
                <w:szCs w:val="18"/>
              </w:rPr>
              <w:t>Requirements for the lead applicant Civil Society Organization (CSO)</w:t>
            </w:r>
          </w:p>
          <w:p w14:paraId="4E32BC43" w14:textId="77777777" w:rsidR="00D72F1E" w:rsidRPr="00BF5D21" w:rsidRDefault="00D72F1E" w:rsidP="00D72F1E">
            <w:pPr>
              <w:pStyle w:val="ListParagraph"/>
              <w:numPr>
                <w:ilvl w:val="0"/>
                <w:numId w:val="66"/>
              </w:numPr>
              <w:pBdr>
                <w:top w:val="nil"/>
                <w:left w:val="nil"/>
                <w:bottom w:val="nil"/>
                <w:right w:val="nil"/>
                <w:between w:val="nil"/>
              </w:pBdr>
              <w:spacing w:line="276" w:lineRule="auto"/>
              <w:jc w:val="both"/>
              <w:rPr>
                <w:rFonts w:ascii="Calibri body" w:eastAsia="Verdana" w:hAnsi="Calibri body" w:cstheme="majorHAnsi"/>
                <w:sz w:val="18"/>
                <w:szCs w:val="18"/>
              </w:rPr>
            </w:pPr>
            <w:r w:rsidRPr="00BF5D21">
              <w:rPr>
                <w:rFonts w:ascii="Calibri body" w:eastAsia="Verdana" w:hAnsi="Calibri body" w:cstheme="majorHAnsi"/>
                <w:sz w:val="18"/>
                <w:szCs w:val="18"/>
              </w:rPr>
              <w:t xml:space="preserve">An officially registered legal NGO/CSO as per Armenian regulations working on women’s </w:t>
            </w:r>
            <w:proofErr w:type="gramStart"/>
            <w:r w:rsidRPr="00BF5D21">
              <w:rPr>
                <w:rFonts w:ascii="Calibri body" w:eastAsia="Verdana" w:hAnsi="Calibri body" w:cstheme="majorHAnsi"/>
                <w:sz w:val="18"/>
                <w:szCs w:val="18"/>
              </w:rPr>
              <w:t>issues;</w:t>
            </w:r>
            <w:proofErr w:type="gramEnd"/>
          </w:p>
          <w:p w14:paraId="0B6D2F82" w14:textId="77777777" w:rsidR="00D72F1E" w:rsidRPr="00BF5D21" w:rsidRDefault="00D72F1E" w:rsidP="00D72F1E">
            <w:pPr>
              <w:pStyle w:val="ListParagraph"/>
              <w:numPr>
                <w:ilvl w:val="0"/>
                <w:numId w:val="66"/>
              </w:numPr>
              <w:pBdr>
                <w:top w:val="nil"/>
                <w:left w:val="nil"/>
                <w:bottom w:val="nil"/>
                <w:right w:val="nil"/>
                <w:between w:val="nil"/>
              </w:pBdr>
              <w:spacing w:line="276" w:lineRule="auto"/>
              <w:jc w:val="both"/>
              <w:rPr>
                <w:rFonts w:ascii="Calibri body" w:eastAsia="Verdana" w:hAnsi="Calibri body" w:cstheme="majorHAnsi"/>
                <w:sz w:val="18"/>
                <w:szCs w:val="18"/>
              </w:rPr>
            </w:pPr>
            <w:r w:rsidRPr="00BF5D21">
              <w:rPr>
                <w:rFonts w:ascii="Calibri body" w:eastAsia="Verdana" w:hAnsi="Calibri body" w:cstheme="majorHAnsi"/>
                <w:sz w:val="18"/>
                <w:szCs w:val="18"/>
              </w:rPr>
              <w:t xml:space="preserve">At least 5 years of proven experience and results in working on issues related to gender equality and women’s </w:t>
            </w:r>
            <w:proofErr w:type="gramStart"/>
            <w:r w:rsidRPr="00BF5D21">
              <w:rPr>
                <w:rFonts w:ascii="Calibri body" w:eastAsia="Verdana" w:hAnsi="Calibri body" w:cstheme="majorHAnsi"/>
                <w:sz w:val="18"/>
                <w:szCs w:val="18"/>
              </w:rPr>
              <w:t>empowerment</w:t>
            </w:r>
            <w:proofErr w:type="gramEnd"/>
            <w:r w:rsidRPr="00BF5D21">
              <w:rPr>
                <w:rFonts w:ascii="Calibri body" w:eastAsia="Verdana" w:hAnsi="Calibri body" w:cstheme="majorHAnsi"/>
                <w:sz w:val="18"/>
                <w:szCs w:val="18"/>
              </w:rPr>
              <w:t xml:space="preserve"> </w:t>
            </w:r>
          </w:p>
          <w:p w14:paraId="76C4478B" w14:textId="0F563997" w:rsidR="00D72F1E" w:rsidRPr="00BF5D21" w:rsidRDefault="00D72F1E" w:rsidP="00D72F1E">
            <w:pPr>
              <w:pStyle w:val="ListParagraph"/>
              <w:numPr>
                <w:ilvl w:val="0"/>
                <w:numId w:val="66"/>
              </w:numPr>
              <w:pBdr>
                <w:top w:val="nil"/>
                <w:left w:val="nil"/>
                <w:bottom w:val="nil"/>
                <w:right w:val="nil"/>
                <w:between w:val="nil"/>
              </w:pBdr>
              <w:spacing w:line="276" w:lineRule="auto"/>
              <w:jc w:val="both"/>
              <w:rPr>
                <w:rFonts w:ascii="Calibri body" w:eastAsia="Verdana" w:hAnsi="Calibri body" w:cstheme="majorHAnsi"/>
                <w:sz w:val="18"/>
                <w:szCs w:val="18"/>
              </w:rPr>
            </w:pPr>
            <w:r w:rsidRPr="00BF5D21">
              <w:rPr>
                <w:rFonts w:ascii="Calibri body" w:eastAsia="Verdana" w:hAnsi="Calibri body" w:cstheme="majorHAnsi"/>
                <w:sz w:val="18"/>
                <w:szCs w:val="18"/>
                <w:lang w:val="en-US"/>
              </w:rPr>
              <w:t xml:space="preserve">At least 3 years of experience of conducting training on gender equality, VAW/DV to </w:t>
            </w:r>
            <w:proofErr w:type="gramStart"/>
            <w:r w:rsidR="008A5FAB">
              <w:rPr>
                <w:rFonts w:ascii="Calibri body" w:eastAsia="Verdana" w:hAnsi="Calibri body" w:cstheme="majorHAnsi"/>
                <w:sz w:val="18"/>
                <w:szCs w:val="18"/>
                <w:lang w:val="en-US"/>
              </w:rPr>
              <w:t>youth</w:t>
            </w:r>
            <w:r w:rsidRPr="00BF5D21">
              <w:rPr>
                <w:rFonts w:ascii="Calibri body" w:eastAsia="Verdana" w:hAnsi="Calibri body" w:cstheme="majorHAnsi"/>
                <w:sz w:val="18"/>
                <w:szCs w:val="18"/>
                <w:lang w:val="en-US"/>
              </w:rPr>
              <w:t>;</w:t>
            </w:r>
            <w:proofErr w:type="gramEnd"/>
          </w:p>
          <w:p w14:paraId="62F99DF9" w14:textId="77777777" w:rsidR="00D72F1E" w:rsidRPr="00BF5D21" w:rsidRDefault="00D72F1E" w:rsidP="00D72F1E">
            <w:pPr>
              <w:pStyle w:val="ListParagraph"/>
              <w:numPr>
                <w:ilvl w:val="0"/>
                <w:numId w:val="66"/>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 xml:space="preserve">General organizational capability (minimum staffing and structure of the organization) which is likely to affect implementation: organization can demonstrate that it has already developed and implemented similar </w:t>
            </w:r>
            <w:proofErr w:type="gramStart"/>
            <w:r w:rsidRPr="00BF5D21">
              <w:rPr>
                <w:rFonts w:ascii="Calibri body" w:hAnsi="Calibri body" w:cstheme="majorHAnsi"/>
                <w:sz w:val="18"/>
                <w:szCs w:val="18"/>
              </w:rPr>
              <w:t>projects;</w:t>
            </w:r>
            <w:proofErr w:type="gramEnd"/>
          </w:p>
          <w:p w14:paraId="1D2E4AAD" w14:textId="77777777" w:rsidR="00D72F1E" w:rsidRPr="00BF5D21" w:rsidRDefault="00D72F1E" w:rsidP="00D72F1E">
            <w:pPr>
              <w:pStyle w:val="ListParagraph"/>
              <w:numPr>
                <w:ilvl w:val="0"/>
                <w:numId w:val="66"/>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At least 2 years of experience in working in the regions of Armenia.</w:t>
            </w:r>
          </w:p>
          <w:p w14:paraId="13F393EF" w14:textId="77777777" w:rsidR="00D72F1E" w:rsidRPr="00BF5D21" w:rsidRDefault="00D72F1E" w:rsidP="00D72F1E">
            <w:pPr>
              <w:pStyle w:val="ListParagraph"/>
              <w:numPr>
                <w:ilvl w:val="0"/>
                <w:numId w:val="66"/>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Partnership with other women NGOs (coalition NGOs) is encouraged.</w:t>
            </w:r>
          </w:p>
          <w:p w14:paraId="027EFD70" w14:textId="77777777" w:rsidR="00D72F1E" w:rsidRPr="00BF5D21" w:rsidRDefault="00D72F1E" w:rsidP="00D72F1E">
            <w:pPr>
              <w:pBdr>
                <w:top w:val="nil"/>
                <w:left w:val="nil"/>
                <w:bottom w:val="nil"/>
                <w:right w:val="nil"/>
                <w:between w:val="nil"/>
              </w:pBdr>
              <w:spacing w:line="276" w:lineRule="auto"/>
              <w:jc w:val="both"/>
              <w:rPr>
                <w:rFonts w:ascii="Calibri body" w:eastAsia="Verdana" w:hAnsi="Calibri body" w:cstheme="majorHAnsi"/>
                <w:sz w:val="18"/>
                <w:szCs w:val="18"/>
              </w:rPr>
            </w:pPr>
          </w:p>
          <w:p w14:paraId="5CCD5B59" w14:textId="77777777" w:rsidR="00D72F1E" w:rsidRPr="00BF5D21" w:rsidRDefault="00D72F1E" w:rsidP="00D72F1E">
            <w:pPr>
              <w:spacing w:line="276" w:lineRule="auto"/>
              <w:rPr>
                <w:rFonts w:ascii="Calibri body" w:hAnsi="Calibri body" w:cstheme="majorHAnsi"/>
                <w:b/>
                <w:sz w:val="18"/>
                <w:szCs w:val="18"/>
              </w:rPr>
            </w:pPr>
            <w:r w:rsidRPr="00BF5D21">
              <w:rPr>
                <w:rFonts w:ascii="Calibri body" w:hAnsi="Calibri body" w:cstheme="majorHAnsi"/>
                <w:b/>
                <w:sz w:val="18"/>
                <w:szCs w:val="18"/>
              </w:rPr>
              <w:t>Qualified coordinator (team leader) with:</w:t>
            </w:r>
          </w:p>
          <w:p w14:paraId="4D363EE0"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 xml:space="preserve">At least </w:t>
            </w:r>
            <w:proofErr w:type="gramStart"/>
            <w:r w:rsidRPr="00BF5D21">
              <w:rPr>
                <w:rFonts w:ascii="Calibri body" w:hAnsi="Calibri body" w:cstheme="majorHAnsi"/>
                <w:sz w:val="18"/>
                <w:szCs w:val="18"/>
              </w:rPr>
              <w:t>Master’s</w:t>
            </w:r>
            <w:proofErr w:type="gramEnd"/>
            <w:r w:rsidRPr="00BF5D21">
              <w:rPr>
                <w:rFonts w:ascii="Calibri body" w:hAnsi="Calibri body" w:cstheme="majorHAnsi"/>
                <w:sz w:val="18"/>
                <w:szCs w:val="18"/>
              </w:rPr>
              <w:t xml:space="preserve"> degree (or equivalent) in the fields of Law, Development Studies, Women and Gender Studies, or Education among others;</w:t>
            </w:r>
          </w:p>
          <w:p w14:paraId="3516E42D"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 xml:space="preserve">Evidence of at least 5 years of relevant professional experience that combines working on with general public and/or vulnerable groups around gender equality, women’s rights and gender-based violence </w:t>
            </w:r>
            <w:proofErr w:type="gramStart"/>
            <w:r w:rsidRPr="00BF5D21">
              <w:rPr>
                <w:rFonts w:ascii="Calibri body" w:hAnsi="Calibri body" w:cstheme="majorHAnsi"/>
                <w:sz w:val="18"/>
                <w:szCs w:val="18"/>
              </w:rPr>
              <w:t>issues;</w:t>
            </w:r>
            <w:proofErr w:type="gramEnd"/>
          </w:p>
          <w:p w14:paraId="4A3C7328"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 xml:space="preserve">Experience in organizing and delivering awareness raising </w:t>
            </w:r>
            <w:proofErr w:type="gramStart"/>
            <w:r w:rsidRPr="00BF5D21">
              <w:rPr>
                <w:rFonts w:ascii="Calibri body" w:hAnsi="Calibri body" w:cstheme="majorHAnsi"/>
                <w:sz w:val="18"/>
                <w:szCs w:val="18"/>
              </w:rPr>
              <w:t>activities;</w:t>
            </w:r>
            <w:proofErr w:type="gramEnd"/>
            <w:r w:rsidRPr="00BF5D21">
              <w:rPr>
                <w:rFonts w:ascii="Calibri body" w:hAnsi="Calibri body" w:cstheme="majorHAnsi"/>
                <w:sz w:val="18"/>
                <w:szCs w:val="18"/>
              </w:rPr>
              <w:t xml:space="preserve"> </w:t>
            </w:r>
          </w:p>
          <w:p w14:paraId="0C1A9316"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 xml:space="preserve">Experience in working in regions and forming networks with local population will be an </w:t>
            </w:r>
            <w:proofErr w:type="gramStart"/>
            <w:r w:rsidRPr="00BF5D21">
              <w:rPr>
                <w:rFonts w:ascii="Calibri body" w:hAnsi="Calibri body" w:cstheme="majorHAnsi"/>
                <w:sz w:val="18"/>
                <w:szCs w:val="18"/>
              </w:rPr>
              <w:t>asset;</w:t>
            </w:r>
            <w:proofErr w:type="gramEnd"/>
          </w:p>
          <w:p w14:paraId="72896664"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 xml:space="preserve">Experience in implementing similar projects will be an </w:t>
            </w:r>
            <w:proofErr w:type="gramStart"/>
            <w:r w:rsidRPr="00BF5D21">
              <w:rPr>
                <w:rFonts w:ascii="Calibri body" w:hAnsi="Calibri body" w:cstheme="majorHAnsi"/>
                <w:sz w:val="18"/>
                <w:szCs w:val="18"/>
              </w:rPr>
              <w:t>asset;</w:t>
            </w:r>
            <w:proofErr w:type="gramEnd"/>
          </w:p>
          <w:p w14:paraId="1C29FB66" w14:textId="77777777" w:rsidR="00D72F1E" w:rsidRPr="00BF5D21" w:rsidRDefault="00D72F1E" w:rsidP="00D72F1E">
            <w:pPr>
              <w:pStyle w:val="ListParagraph"/>
              <w:numPr>
                <w:ilvl w:val="0"/>
                <w:numId w:val="67"/>
              </w:numPr>
              <w:spacing w:line="276" w:lineRule="auto"/>
              <w:rPr>
                <w:rFonts w:ascii="Calibri body" w:hAnsi="Calibri body" w:cstheme="majorHAnsi"/>
                <w:sz w:val="18"/>
                <w:szCs w:val="18"/>
              </w:rPr>
            </w:pPr>
            <w:r w:rsidRPr="00BF5D21">
              <w:rPr>
                <w:rFonts w:ascii="Calibri body" w:hAnsi="Calibri body" w:cstheme="majorHAnsi"/>
                <w:sz w:val="18"/>
                <w:szCs w:val="18"/>
              </w:rPr>
              <w:t>Proficiency in English will be an asset.</w:t>
            </w:r>
          </w:p>
          <w:p w14:paraId="119E2F48" w14:textId="77777777" w:rsidR="00D72F1E" w:rsidRPr="00BF5D21" w:rsidRDefault="00D72F1E" w:rsidP="00D72F1E">
            <w:pPr>
              <w:pStyle w:val="ListParagraph"/>
              <w:spacing w:line="276" w:lineRule="auto"/>
              <w:rPr>
                <w:rFonts w:ascii="Calibri body" w:hAnsi="Calibri body" w:cstheme="majorHAnsi"/>
                <w:sz w:val="18"/>
                <w:szCs w:val="18"/>
              </w:rPr>
            </w:pPr>
          </w:p>
          <w:p w14:paraId="7C888B9C" w14:textId="77777777" w:rsidR="00D72F1E" w:rsidRPr="00BF5D21" w:rsidRDefault="00D72F1E" w:rsidP="00D72F1E">
            <w:pPr>
              <w:autoSpaceDE w:val="0"/>
              <w:autoSpaceDN w:val="0"/>
              <w:adjustRightInd w:val="0"/>
              <w:spacing w:line="276" w:lineRule="auto"/>
              <w:jc w:val="both"/>
              <w:rPr>
                <w:rFonts w:ascii="Calibri body" w:hAnsi="Calibri body" w:cstheme="majorHAnsi"/>
                <w:b/>
                <w:bCs/>
                <w:sz w:val="18"/>
                <w:szCs w:val="18"/>
              </w:rPr>
            </w:pPr>
            <w:r w:rsidRPr="00BF5D21">
              <w:rPr>
                <w:rFonts w:ascii="Calibri body" w:hAnsi="Calibri body" w:cstheme="majorHAnsi"/>
                <w:b/>
                <w:bCs/>
                <w:sz w:val="18"/>
                <w:szCs w:val="18"/>
              </w:rPr>
              <w:t>Qualifications of the team members:</w:t>
            </w:r>
          </w:p>
          <w:p w14:paraId="1D60D131" w14:textId="77777777" w:rsidR="00D72F1E" w:rsidRPr="00BF5D21" w:rsidRDefault="00D72F1E" w:rsidP="00D72F1E">
            <w:pPr>
              <w:pStyle w:val="ListParagraph"/>
              <w:numPr>
                <w:ilvl w:val="0"/>
                <w:numId w:val="68"/>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 xml:space="preserve">University (at least Bachelor’s) degree the fields of Law, Development Studies, Women and Gender Studies, Education or other related study </w:t>
            </w:r>
            <w:proofErr w:type="gramStart"/>
            <w:r w:rsidRPr="00BF5D21">
              <w:rPr>
                <w:rFonts w:ascii="Calibri body" w:hAnsi="Calibri body" w:cstheme="majorHAnsi"/>
                <w:sz w:val="18"/>
                <w:szCs w:val="18"/>
              </w:rPr>
              <w:t>areas;</w:t>
            </w:r>
            <w:proofErr w:type="gramEnd"/>
          </w:p>
          <w:p w14:paraId="2645FF79" w14:textId="77777777" w:rsidR="00D72F1E" w:rsidRPr="00BF5D21" w:rsidRDefault="00D72F1E" w:rsidP="00D72F1E">
            <w:pPr>
              <w:pStyle w:val="ListParagraph"/>
              <w:numPr>
                <w:ilvl w:val="0"/>
                <w:numId w:val="68"/>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 xml:space="preserve">At least 3 years of experience of working in the field raising awareness of women and </w:t>
            </w:r>
            <w:proofErr w:type="gramStart"/>
            <w:r w:rsidRPr="00BF5D21">
              <w:rPr>
                <w:rFonts w:ascii="Calibri body" w:hAnsi="Calibri body" w:cstheme="majorHAnsi"/>
                <w:sz w:val="18"/>
                <w:szCs w:val="18"/>
              </w:rPr>
              <w:t>youth;</w:t>
            </w:r>
            <w:proofErr w:type="gramEnd"/>
            <w:r w:rsidRPr="00BF5D21">
              <w:rPr>
                <w:rFonts w:ascii="Calibri body" w:hAnsi="Calibri body" w:cstheme="majorHAnsi"/>
                <w:sz w:val="18"/>
                <w:szCs w:val="18"/>
              </w:rPr>
              <w:t xml:space="preserve"> </w:t>
            </w:r>
          </w:p>
          <w:p w14:paraId="6666810C" w14:textId="77777777" w:rsidR="00D72F1E" w:rsidRPr="00BF5D21" w:rsidRDefault="00D72F1E" w:rsidP="00D72F1E">
            <w:pPr>
              <w:pStyle w:val="ListParagraph"/>
              <w:numPr>
                <w:ilvl w:val="0"/>
                <w:numId w:val="68"/>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 xml:space="preserve">At least 2 years’ experience in conducting trainings and/or other awareness raising </w:t>
            </w:r>
            <w:proofErr w:type="gramStart"/>
            <w:r w:rsidRPr="00BF5D21">
              <w:rPr>
                <w:rFonts w:ascii="Calibri body" w:hAnsi="Calibri body" w:cstheme="majorHAnsi"/>
                <w:sz w:val="18"/>
                <w:szCs w:val="18"/>
              </w:rPr>
              <w:t>activities;</w:t>
            </w:r>
            <w:proofErr w:type="gramEnd"/>
          </w:p>
          <w:p w14:paraId="05719D21" w14:textId="77777777" w:rsidR="00D72F1E" w:rsidRPr="00BF5D21" w:rsidRDefault="00D72F1E" w:rsidP="00D72F1E">
            <w:pPr>
              <w:pStyle w:val="ListParagraph"/>
              <w:numPr>
                <w:ilvl w:val="0"/>
                <w:numId w:val="68"/>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lastRenderedPageBreak/>
              <w:t xml:space="preserve">Experience working in multi-cultural teams and environments will be an </w:t>
            </w:r>
            <w:proofErr w:type="gramStart"/>
            <w:r w:rsidRPr="00BF5D21">
              <w:rPr>
                <w:rFonts w:ascii="Calibri body" w:hAnsi="Calibri body" w:cstheme="majorHAnsi"/>
                <w:sz w:val="18"/>
                <w:szCs w:val="18"/>
              </w:rPr>
              <w:t>asset;</w:t>
            </w:r>
            <w:proofErr w:type="gramEnd"/>
            <w:r w:rsidRPr="00BF5D21">
              <w:rPr>
                <w:rFonts w:ascii="Calibri body" w:hAnsi="Calibri body" w:cstheme="majorHAnsi"/>
                <w:sz w:val="18"/>
                <w:szCs w:val="18"/>
              </w:rPr>
              <w:t xml:space="preserve"> </w:t>
            </w:r>
          </w:p>
          <w:p w14:paraId="3BF531E1" w14:textId="5B03359F" w:rsidR="00D45B16" w:rsidRPr="00BF5D21" w:rsidRDefault="00D72F1E" w:rsidP="00D72F1E">
            <w:pPr>
              <w:pStyle w:val="ListParagraph"/>
              <w:numPr>
                <w:ilvl w:val="0"/>
                <w:numId w:val="68"/>
              </w:numPr>
              <w:autoSpaceDE w:val="0"/>
              <w:autoSpaceDN w:val="0"/>
              <w:adjustRightInd w:val="0"/>
              <w:spacing w:line="276" w:lineRule="auto"/>
              <w:jc w:val="both"/>
              <w:rPr>
                <w:rFonts w:ascii="Calibri body" w:hAnsi="Calibri body" w:cstheme="majorHAnsi"/>
                <w:sz w:val="18"/>
                <w:szCs w:val="18"/>
              </w:rPr>
            </w:pPr>
            <w:r w:rsidRPr="00BF5D21">
              <w:rPr>
                <w:rFonts w:ascii="Calibri body" w:hAnsi="Calibri body" w:cstheme="majorHAnsi"/>
                <w:sz w:val="18"/>
                <w:szCs w:val="18"/>
              </w:rPr>
              <w:t>Proficiency in English will be an asset.</w:t>
            </w:r>
          </w:p>
          <w:p w14:paraId="4887585C" w14:textId="73D29E08" w:rsidR="00BF0379" w:rsidRPr="00BF5D21" w:rsidRDefault="00BF0379" w:rsidP="0038204D">
            <w:pPr>
              <w:tabs>
                <w:tab w:val="center" w:pos="4320"/>
                <w:tab w:val="right" w:pos="8640"/>
              </w:tabs>
              <w:rPr>
                <w:rFonts w:ascii="Calibri body" w:eastAsia="Times New Roman" w:hAnsi="Calibri body" w:cstheme="minorHAnsi"/>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5102065D"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985737" w:rsidRPr="00985737">
        <w:rPr>
          <w:rFonts w:eastAsia="Times New Roman" w:cstheme="minorHAnsi"/>
          <w:b/>
          <w:color w:val="000000"/>
          <w:sz w:val="18"/>
          <w:szCs w:val="18"/>
          <w:lang w:val="en-GB" w:eastAsia="en-GB"/>
        </w:rPr>
        <w:t>UNW-ECA-GEO-CFP-2024-002</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6355F4">
            <w:pPr>
              <w:pStyle w:val="ListParagraph"/>
              <w:numPr>
                <w:ilvl w:val="0"/>
                <w:numId w:val="6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6355F4">
            <w:pPr>
              <w:pStyle w:val="ListParagraph"/>
              <w:numPr>
                <w:ilvl w:val="0"/>
                <w:numId w:val="6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w:t>
            </w:r>
            <w:proofErr w:type="spellStart"/>
            <w:r w:rsidR="005A1CDA" w:rsidRPr="002648A1">
              <w:rPr>
                <w:rFonts w:eastAsia="Arial" w:cstheme="minorHAnsi"/>
                <w:sz w:val="18"/>
                <w:szCs w:val="18"/>
              </w:rPr>
              <w:t>SGB</w:t>
            </w:r>
            <w:proofErr w:type="spellEnd"/>
            <w:r w:rsidR="005A1CDA" w:rsidRPr="002648A1">
              <w:rPr>
                <w:rFonts w:eastAsia="Arial" w:cstheme="minorHAnsi"/>
                <w:sz w:val="18"/>
                <w:szCs w:val="18"/>
              </w:rPr>
              <w:t>/2003/13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7DFE50B1" w:rsidR="00C22EF1" w:rsidRPr="0056586D" w:rsidRDefault="00C22EF1" w:rsidP="0038204D">
      <w:pPr>
        <w:spacing w:after="0" w:line="240" w:lineRule="auto"/>
        <w:rPr>
          <w:rFonts w:eastAsia="Calibri" w:cstheme="minorHAnsi"/>
          <w:b/>
          <w:bCs/>
          <w:color w:val="000000"/>
          <w:sz w:val="18"/>
          <w:szCs w:val="18"/>
          <w:lang w:val="en-CA"/>
        </w:rPr>
      </w:pPr>
      <w:r w:rsidRPr="00985737">
        <w:rPr>
          <w:rFonts w:eastAsia="Calibri" w:cstheme="minorHAnsi"/>
          <w:b/>
          <w:bCs/>
          <w:color w:val="000000"/>
          <w:sz w:val="18"/>
          <w:szCs w:val="18"/>
          <w:lang w:val="en-CA"/>
        </w:rPr>
        <w:t xml:space="preserve">CFP No. </w:t>
      </w:r>
      <w:r w:rsidR="00985737" w:rsidRPr="00985737">
        <w:rPr>
          <w:rFonts w:eastAsia="Calibri" w:cstheme="minorHAnsi"/>
          <w:b/>
          <w:bCs/>
          <w:color w:val="000000"/>
          <w:sz w:val="18"/>
          <w:szCs w:val="18"/>
          <w:lang w:val="en-CA"/>
        </w:rPr>
        <w:t>UNW-ECA-GEO-CFP-2024-002</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149B453D"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7" w:history="1">
        <w:r w:rsidR="00C66CE6" w:rsidRPr="007142B1">
          <w:rPr>
            <w:rStyle w:val="Hyperlink"/>
            <w:rFonts w:eastAsia="Calibri" w:cstheme="minorHAnsi"/>
            <w:spacing w:val="-3"/>
            <w:sz w:val="18"/>
            <w:szCs w:val="18"/>
            <w:lang w:val="en-GB" w:eastAsia="en-GB"/>
          </w:rPr>
          <w:t>geo.cfp@unwomen.org</w:t>
        </w:r>
      </w:hyperlink>
      <w:r w:rsidR="00C66CE6">
        <w:rPr>
          <w:rFonts w:eastAsia="Calibri" w:cstheme="minorHAnsi"/>
          <w:color w:val="000000"/>
          <w:spacing w:val="-3"/>
          <w:sz w:val="18"/>
          <w:szCs w:val="18"/>
          <w:lang w:val="ka-GE" w:eastAsia="en-GB"/>
        </w:rPr>
        <w:t xml:space="preserve">. </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2A4BCD3A" w14:textId="13D0255E" w:rsidR="00C66CE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ka-GE"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C66CE6">
        <w:rPr>
          <w:rFonts w:eastAsia="Calibri" w:cstheme="minorHAnsi"/>
          <w:b/>
          <w:bCs/>
          <w:color w:val="000000"/>
          <w:spacing w:val="-3"/>
          <w:sz w:val="18"/>
          <w:szCs w:val="18"/>
          <w:lang w:val="ka-GE" w:eastAsia="en-GB"/>
        </w:rPr>
        <w:t xml:space="preserve">: </w:t>
      </w:r>
      <w:r w:rsidR="00000000">
        <w:fldChar w:fldCharType="begin"/>
      </w:r>
      <w:r w:rsidR="00000000">
        <w:instrText>HYPERLINK "mailto:geo.cfp@unwomen.org"</w:instrText>
      </w:r>
      <w:r w:rsidR="00000000">
        <w:fldChar w:fldCharType="separate"/>
      </w:r>
      <w:r w:rsidR="00C66CE6" w:rsidRPr="007142B1">
        <w:rPr>
          <w:rStyle w:val="Hyperlink"/>
          <w:rFonts w:eastAsia="Calibri" w:cstheme="minorHAnsi"/>
          <w:b/>
          <w:bCs/>
          <w:spacing w:val="-3"/>
          <w:sz w:val="18"/>
          <w:szCs w:val="18"/>
          <w:lang w:val="ka-GE" w:eastAsia="en-GB"/>
        </w:rPr>
        <w:t>geo.cfp@unwomen.org</w:t>
      </w:r>
      <w:r w:rsidR="00000000">
        <w:rPr>
          <w:rStyle w:val="Hyperlink"/>
          <w:rFonts w:eastAsia="Calibri" w:cstheme="minorHAnsi"/>
          <w:b/>
          <w:bCs/>
          <w:spacing w:val="-3"/>
          <w:sz w:val="18"/>
          <w:szCs w:val="18"/>
          <w:lang w:val="ka-GE" w:eastAsia="en-GB"/>
        </w:rPr>
        <w:fldChar w:fldCharType="end"/>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7CE89090"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031FC8" w:rsidRPr="00026F62">
        <w:rPr>
          <w:rFonts w:eastAsia="Times New Roman" w:cstheme="minorHAnsi"/>
          <w:color w:val="000000"/>
          <w:sz w:val="18"/>
          <w:szCs w:val="18"/>
          <w:lang w:val="en-GB" w:eastAsia="en-GB"/>
        </w:rPr>
        <w:t>Armenian Dram</w:t>
      </w:r>
      <w:r w:rsidR="00281A56" w:rsidRPr="00026F62">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026F62"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selected proponent is expected to commence </w:t>
      </w:r>
      <w:r w:rsidRPr="00026F62">
        <w:rPr>
          <w:rFonts w:eastAsia="Calibri" w:cstheme="minorHAnsi"/>
          <w:color w:val="000000"/>
          <w:spacing w:val="-3"/>
          <w:sz w:val="18"/>
          <w:szCs w:val="18"/>
          <w:lang w:val="en-GB" w:eastAsia="en-GB"/>
        </w:rPr>
        <w:t>providing services as of the date and time stipulated in this CFP.</w:t>
      </w:r>
    </w:p>
    <w:p w14:paraId="4607204F" w14:textId="423E1474"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026F62">
        <w:rPr>
          <w:rFonts w:eastAsia="Calibri" w:cstheme="minorHAnsi"/>
          <w:color w:val="000000"/>
          <w:spacing w:val="-3"/>
          <w:sz w:val="18"/>
          <w:szCs w:val="18"/>
          <w:lang w:val="en-GB" w:eastAsia="en-GB"/>
        </w:rPr>
        <w:t>14.3</w:t>
      </w:r>
      <w:r w:rsidR="001E7A73" w:rsidRPr="00026F62">
        <w:rPr>
          <w:rFonts w:eastAsia="Calibri" w:cstheme="minorHAnsi"/>
          <w:color w:val="000000"/>
          <w:spacing w:val="-3"/>
          <w:sz w:val="18"/>
          <w:szCs w:val="18"/>
          <w:lang w:val="en-GB" w:eastAsia="en-GB"/>
        </w:rPr>
        <w:tab/>
      </w:r>
      <w:r w:rsidRPr="00026F62">
        <w:rPr>
          <w:rFonts w:eastAsia="Calibri" w:cstheme="minorHAnsi"/>
          <w:color w:val="000000"/>
          <w:spacing w:val="-3"/>
          <w:sz w:val="18"/>
          <w:szCs w:val="18"/>
          <w:lang w:val="en-GB" w:eastAsia="en-GB"/>
        </w:rPr>
        <w:t xml:space="preserve">The award will be for an agreement with an original term of </w:t>
      </w:r>
      <w:r w:rsidR="002B7729" w:rsidRPr="00026F62">
        <w:rPr>
          <w:rFonts w:eastAsia="Calibri" w:cstheme="minorHAnsi"/>
          <w:color w:val="000000"/>
          <w:spacing w:val="-3"/>
          <w:sz w:val="18"/>
          <w:szCs w:val="18"/>
          <w:u w:val="single"/>
          <w:lang w:val="ka-GE" w:eastAsia="en-GB"/>
        </w:rPr>
        <w:t>1</w:t>
      </w:r>
      <w:r w:rsidR="00E25612">
        <w:rPr>
          <w:rFonts w:eastAsia="Calibri" w:cstheme="minorHAnsi"/>
          <w:color w:val="000000"/>
          <w:spacing w:val="-3"/>
          <w:sz w:val="18"/>
          <w:szCs w:val="18"/>
          <w:u w:val="single"/>
          <w:lang w:eastAsia="en-GB"/>
        </w:rPr>
        <w:t>8</w:t>
      </w:r>
      <w:r w:rsidR="002B7729" w:rsidRPr="00026F62">
        <w:rPr>
          <w:rFonts w:eastAsia="Calibri" w:cstheme="minorHAnsi"/>
          <w:color w:val="000000"/>
          <w:spacing w:val="-3"/>
          <w:sz w:val="18"/>
          <w:szCs w:val="18"/>
          <w:u w:val="single"/>
          <w:lang w:val="ka-GE" w:eastAsia="en-GB"/>
        </w:rPr>
        <w:t xml:space="preserve"> </w:t>
      </w:r>
      <w:r w:rsidR="002B7729" w:rsidRPr="00026F62">
        <w:rPr>
          <w:rFonts w:eastAsia="Calibri" w:cstheme="minorHAnsi"/>
          <w:color w:val="000000"/>
          <w:spacing w:val="-3"/>
          <w:sz w:val="18"/>
          <w:szCs w:val="18"/>
          <w:u w:val="single"/>
          <w:lang w:eastAsia="en-GB"/>
        </w:rPr>
        <w:t>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38C018DE"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985737">
        <w:rPr>
          <w:rFonts w:eastAsia="Times New Roman" w:cstheme="minorHAnsi"/>
          <w:b/>
          <w:color w:val="000000"/>
          <w:sz w:val="18"/>
          <w:szCs w:val="18"/>
          <w:lang w:val="en-GB" w:eastAsia="en-GB"/>
        </w:rPr>
        <w:t xml:space="preserve"> </w:t>
      </w:r>
      <w:r w:rsidR="00985737" w:rsidRPr="00985737">
        <w:rPr>
          <w:rFonts w:eastAsia="Times New Roman" w:cstheme="minorHAnsi"/>
          <w:b/>
          <w:color w:val="000000"/>
          <w:sz w:val="18"/>
          <w:szCs w:val="18"/>
          <w:lang w:val="en-GB" w:eastAsia="en-GB"/>
        </w:rPr>
        <w:t>UNW-ECA-GEO-CFP-2024-002</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2"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8144E4" w:rsidRDefault="00E50DCE" w:rsidP="00E50DCE">
      <w:pPr>
        <w:pStyle w:val="ListParagraph"/>
        <w:numPr>
          <w:ilvl w:val="0"/>
          <w:numId w:val="3"/>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5048F834" w14:textId="77777777" w:rsidR="00E50DCE" w:rsidRPr="008144E4" w:rsidRDefault="00E50DCE" w:rsidP="00E50DCE">
      <w:pPr>
        <w:pStyle w:val="ListParagraph"/>
        <w:numPr>
          <w:ilvl w:val="0"/>
          <w:numId w:val="3"/>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8% or the rate set forth in the Donor Specific </w:t>
      </w:r>
      <w:proofErr w:type="gramStart"/>
      <w:r w:rsidRPr="008144E4">
        <w:rPr>
          <w:color w:val="000000" w:themeColor="text1"/>
          <w:sz w:val="18"/>
          <w:szCs w:val="18"/>
        </w:rPr>
        <w:t>Conditions, if</w:t>
      </w:r>
      <w:proofErr w:type="gramEnd"/>
      <w:r w:rsidRPr="008144E4">
        <w:rPr>
          <w:color w:val="000000" w:themeColor="text1"/>
          <w:sz w:val="18"/>
          <w:szCs w:val="18"/>
        </w:rPr>
        <w:t xml:space="preserve"> that is lower)</w:t>
      </w:r>
      <w:r>
        <w:rPr>
          <w:color w:val="000000" w:themeColor="text1"/>
          <w:sz w:val="18"/>
          <w:szCs w:val="18"/>
        </w:rPr>
        <w:t>.</w:t>
      </w:r>
    </w:p>
    <w:bookmarkEnd w:id="2"/>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74D70B23"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r w:rsidR="00985737">
        <w:rPr>
          <w:rFonts w:eastAsia="Times New Roman" w:cstheme="minorHAnsi"/>
          <w:b/>
          <w:sz w:val="18"/>
          <w:szCs w:val="18"/>
          <w:lang w:val="en-GB" w:eastAsia="en-GB"/>
        </w:rPr>
        <w:t xml:space="preserve"> </w:t>
      </w:r>
      <w:r w:rsidR="00985737" w:rsidRPr="00985737">
        <w:rPr>
          <w:rFonts w:eastAsia="Times New Roman" w:cstheme="minorHAnsi"/>
          <w:b/>
          <w:sz w:val="18"/>
          <w:szCs w:val="18"/>
          <w:lang w:val="en-GB" w:eastAsia="en-GB"/>
        </w:rPr>
        <w:t>UNW-ECA-GEO-CFP-2024-002</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05419B1"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985737" w:rsidRPr="00985737">
        <w:rPr>
          <w:rFonts w:eastAsia="Times New Roman" w:cstheme="minorHAnsi"/>
          <w:b/>
          <w:color w:val="000000"/>
          <w:sz w:val="18"/>
          <w:szCs w:val="18"/>
          <w:lang w:val="en-GB" w:eastAsia="en-GB"/>
        </w:rPr>
        <w:t>UNW-ECA-GEO-CFP-2024-002</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proofErr w:type="spellStart"/>
            <w:r w:rsidR="00373A3A" w:rsidRPr="0056586D">
              <w:rPr>
                <w:rFonts w:asciiTheme="minorHAnsi" w:hAnsiTheme="minorHAnsi" w:cstheme="minorHAnsi"/>
                <w:color w:val="000000" w:themeColor="text1"/>
                <w:sz w:val="18"/>
                <w:szCs w:val="18"/>
              </w:rPr>
              <w:t>PSEA</w:t>
            </w:r>
            <w:proofErr w:type="spellEnd"/>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uotation (</w:t>
            </w:r>
            <w:proofErr w:type="spellStart"/>
            <w:r w:rsidRPr="0056586D">
              <w:rPr>
                <w:rFonts w:asciiTheme="minorHAnsi" w:hAnsiTheme="minorHAnsi" w:cstheme="minorHAnsi"/>
                <w:color w:val="000000"/>
                <w:sz w:val="18"/>
                <w:szCs w:val="18"/>
              </w:rPr>
              <w:t>FRQ</w:t>
            </w:r>
            <w:proofErr w:type="spellEnd"/>
            <w:r w:rsidRPr="0056586D">
              <w:rPr>
                <w:rFonts w:asciiTheme="minorHAnsi" w:hAnsiTheme="minorHAnsi" w:cstheme="minorHAnsi"/>
                <w:color w:val="000000"/>
                <w:sz w:val="18"/>
                <w:szCs w:val="18"/>
              </w:rPr>
              <w:t xml:space="preserve">),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3" w:name="_bookmark0"/>
      <w:bookmarkEnd w:id="3"/>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2D624577" w14:textId="393F43AB" w:rsidR="001F6AE1" w:rsidRPr="003E3ACA" w:rsidRDefault="001F6AE1" w:rsidP="00E25612">
      <w:pPr>
        <w:pStyle w:val="ListParagraph"/>
        <w:tabs>
          <w:tab w:val="left" w:pos="-720"/>
          <w:tab w:val="left" w:pos="1440"/>
        </w:tabs>
        <w:suppressAutoHyphens/>
        <w:ind w:left="360"/>
        <w:rPr>
          <w:rFonts w:cs="Calibri"/>
          <w:bCs/>
          <w:color w:val="FF0000"/>
          <w:spacing w:val="-2"/>
          <w:sz w:val="28"/>
          <w:szCs w:val="28"/>
          <w:lang w:val="en-CA"/>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AE51" w14:textId="77777777" w:rsidR="00B9035C" w:rsidRDefault="00B9035C" w:rsidP="00C22EF1">
      <w:pPr>
        <w:spacing w:after="0" w:line="240" w:lineRule="auto"/>
      </w:pPr>
      <w:r>
        <w:separator/>
      </w:r>
    </w:p>
  </w:endnote>
  <w:endnote w:type="continuationSeparator" w:id="0">
    <w:p w14:paraId="78D5830D" w14:textId="77777777" w:rsidR="00B9035C" w:rsidRDefault="00B9035C" w:rsidP="00C22EF1">
      <w:pPr>
        <w:spacing w:after="0" w:line="240" w:lineRule="auto"/>
      </w:pPr>
      <w:r>
        <w:continuationSeparator/>
      </w:r>
    </w:p>
  </w:endnote>
  <w:endnote w:type="continuationNotice" w:id="1">
    <w:p w14:paraId="67076DB5" w14:textId="77777777" w:rsidR="00B9035C" w:rsidRDefault="00B90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body">
    <w:altName w:val="Cambria"/>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48E9" w14:textId="77777777" w:rsidR="00B9035C" w:rsidRDefault="00B9035C" w:rsidP="00C22EF1">
      <w:pPr>
        <w:spacing w:after="0" w:line="240" w:lineRule="auto"/>
      </w:pPr>
      <w:r>
        <w:separator/>
      </w:r>
    </w:p>
  </w:footnote>
  <w:footnote w:type="continuationSeparator" w:id="0">
    <w:p w14:paraId="1E6DFF6E" w14:textId="77777777" w:rsidR="00B9035C" w:rsidRDefault="00B9035C" w:rsidP="00C22EF1">
      <w:pPr>
        <w:spacing w:after="0" w:line="240" w:lineRule="auto"/>
      </w:pPr>
      <w:r>
        <w:continuationSeparator/>
      </w:r>
    </w:p>
  </w:footnote>
  <w:footnote w:type="continuationNotice" w:id="1">
    <w:p w14:paraId="29202D02" w14:textId="77777777" w:rsidR="00B9035C" w:rsidRDefault="00B9035C">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w:t>
      </w:r>
      <w:proofErr w:type="spellStart"/>
      <w:r w:rsidRPr="000611F3">
        <w:rPr>
          <w:rFonts w:ascii="Calibri" w:eastAsia="Times New Roman" w:hAnsi="Calibri" w:cs="Calibri"/>
          <w:color w:val="0000FF"/>
          <w:sz w:val="16"/>
          <w:szCs w:val="16"/>
          <w:u w:val="single"/>
        </w:rPr>
        <w:t>SGB</w:t>
      </w:r>
      <w:proofErr w:type="spellEnd"/>
      <w:r w:rsidRPr="000611F3">
        <w:rPr>
          <w:rFonts w:ascii="Calibri" w:eastAsia="Times New Roman" w:hAnsi="Calibri" w:cs="Calibri"/>
          <w:color w:val="0000FF"/>
          <w:sz w:val="16"/>
          <w:szCs w:val="16"/>
          <w:u w:val="single"/>
        </w:rPr>
        <w:t>/2003/13)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19"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0"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4"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6"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28" w15:restartNumberingAfterBreak="0">
    <w:nsid w:val="22EE44BC"/>
    <w:multiLevelType w:val="hybridMultilevel"/>
    <w:tmpl w:val="1FEC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82C68ED"/>
    <w:multiLevelType w:val="hybridMultilevel"/>
    <w:tmpl w:val="323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3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27440F"/>
    <w:multiLevelType w:val="hybridMultilevel"/>
    <w:tmpl w:val="5440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4"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5"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6"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7"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48"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4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1"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3"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E644B8"/>
    <w:multiLevelType w:val="hybridMultilevel"/>
    <w:tmpl w:val="0FC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5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A73308"/>
    <w:multiLevelType w:val="hybridMultilevel"/>
    <w:tmpl w:val="3A1A750E"/>
    <w:lvl w:ilvl="0" w:tplc="00E21DFC">
      <w:numFmt w:val="bullet"/>
      <w:lvlText w:val="•"/>
      <w:lvlJc w:val="left"/>
      <w:pPr>
        <w:ind w:left="1080" w:hanging="72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3"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6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40"/>
  </w:num>
  <w:num w:numId="2" w16cid:durableId="612058772">
    <w:abstractNumId w:val="0"/>
  </w:num>
  <w:num w:numId="3" w16cid:durableId="836110716">
    <w:abstractNumId w:val="64"/>
  </w:num>
  <w:num w:numId="4" w16cid:durableId="995648832">
    <w:abstractNumId w:val="33"/>
  </w:num>
  <w:num w:numId="5" w16cid:durableId="1770349796">
    <w:abstractNumId w:val="49"/>
  </w:num>
  <w:num w:numId="6" w16cid:durableId="28917693">
    <w:abstractNumId w:val="66"/>
  </w:num>
  <w:num w:numId="7" w16cid:durableId="701370180">
    <w:abstractNumId w:val="32"/>
  </w:num>
  <w:num w:numId="8" w16cid:durableId="698704241">
    <w:abstractNumId w:val="17"/>
  </w:num>
  <w:num w:numId="9" w16cid:durableId="1548371191">
    <w:abstractNumId w:val="12"/>
  </w:num>
  <w:num w:numId="10" w16cid:durableId="1050375944">
    <w:abstractNumId w:val="16"/>
  </w:num>
  <w:num w:numId="11" w16cid:durableId="695276075">
    <w:abstractNumId w:val="59"/>
  </w:num>
  <w:num w:numId="12" w16cid:durableId="1099179774">
    <w:abstractNumId w:val="22"/>
  </w:num>
  <w:num w:numId="13" w16cid:durableId="146097826">
    <w:abstractNumId w:val="15"/>
  </w:num>
  <w:num w:numId="14" w16cid:durableId="1157501964">
    <w:abstractNumId w:val="35"/>
  </w:num>
  <w:num w:numId="15" w16cid:durableId="1378359690">
    <w:abstractNumId w:val="39"/>
  </w:num>
  <w:num w:numId="16" w16cid:durableId="1558738256">
    <w:abstractNumId w:val="57"/>
  </w:num>
  <w:num w:numId="17" w16cid:durableId="375934431">
    <w:abstractNumId w:val="26"/>
  </w:num>
  <w:num w:numId="18" w16cid:durableId="1802189656">
    <w:abstractNumId w:val="14"/>
  </w:num>
  <w:num w:numId="19" w16cid:durableId="636226813">
    <w:abstractNumId w:val="58"/>
  </w:num>
  <w:num w:numId="20" w16cid:durableId="1305542851">
    <w:abstractNumId w:val="21"/>
  </w:num>
  <w:num w:numId="21" w16cid:durableId="149637781">
    <w:abstractNumId w:val="54"/>
  </w:num>
  <w:num w:numId="22" w16cid:durableId="1048601626">
    <w:abstractNumId w:val="60"/>
  </w:num>
  <w:num w:numId="23" w16cid:durableId="1287279126">
    <w:abstractNumId w:val="20"/>
  </w:num>
  <w:num w:numId="24" w16cid:durableId="1116565198">
    <w:abstractNumId w:val="43"/>
  </w:num>
  <w:num w:numId="25" w16cid:durableId="1767069829">
    <w:abstractNumId w:val="27"/>
  </w:num>
  <w:num w:numId="26" w16cid:durableId="1245457905">
    <w:abstractNumId w:val="34"/>
  </w:num>
  <w:num w:numId="27" w16cid:durableId="687368534">
    <w:abstractNumId w:val="23"/>
  </w:num>
  <w:num w:numId="28" w16cid:durableId="1008171726">
    <w:abstractNumId w:val="48"/>
  </w:num>
  <w:num w:numId="29" w16cid:durableId="161891389">
    <w:abstractNumId w:val="52"/>
  </w:num>
  <w:num w:numId="30" w16cid:durableId="374961940">
    <w:abstractNumId w:val="65"/>
  </w:num>
  <w:num w:numId="31" w16cid:durableId="1537814713">
    <w:abstractNumId w:val="18"/>
  </w:num>
  <w:num w:numId="32" w16cid:durableId="145319204">
    <w:abstractNumId w:val="56"/>
  </w:num>
  <w:num w:numId="33" w16cid:durableId="1747335357">
    <w:abstractNumId w:val="62"/>
  </w:num>
  <w:num w:numId="34" w16cid:durableId="1503282481">
    <w:abstractNumId w:val="50"/>
  </w:num>
  <w:num w:numId="35" w16cid:durableId="585961339">
    <w:abstractNumId w:val="47"/>
  </w:num>
  <w:num w:numId="36" w16cid:durableId="1265263778">
    <w:abstractNumId w:val="38"/>
  </w:num>
  <w:num w:numId="37" w16cid:durableId="636297631">
    <w:abstractNumId w:val="53"/>
  </w:num>
  <w:num w:numId="38" w16cid:durableId="689601335">
    <w:abstractNumId w:val="13"/>
  </w:num>
  <w:num w:numId="39" w16cid:durableId="351347327">
    <w:abstractNumId w:val="46"/>
  </w:num>
  <w:num w:numId="40" w16cid:durableId="1698844404">
    <w:abstractNumId w:val="25"/>
  </w:num>
  <w:num w:numId="41" w16cid:durableId="599722789">
    <w:abstractNumId w:val="44"/>
  </w:num>
  <w:num w:numId="42" w16cid:durableId="1143623276">
    <w:abstractNumId w:val="19"/>
  </w:num>
  <w:num w:numId="43" w16cid:durableId="1778063927">
    <w:abstractNumId w:val="11"/>
  </w:num>
  <w:num w:numId="44" w16cid:durableId="1952475907">
    <w:abstractNumId w:val="45"/>
  </w:num>
  <w:num w:numId="45" w16cid:durableId="603849866">
    <w:abstractNumId w:val="5"/>
  </w:num>
  <w:num w:numId="46" w16cid:durableId="1100833157">
    <w:abstractNumId w:val="4"/>
  </w:num>
  <w:num w:numId="47" w16cid:durableId="235166378">
    <w:abstractNumId w:val="3"/>
  </w:num>
  <w:num w:numId="48" w16cid:durableId="2115248656">
    <w:abstractNumId w:val="2"/>
  </w:num>
  <w:num w:numId="49" w16cid:durableId="366878194">
    <w:abstractNumId w:val="1"/>
  </w:num>
  <w:num w:numId="50" w16cid:durableId="1723209688">
    <w:abstractNumId w:val="10"/>
  </w:num>
  <w:num w:numId="51" w16cid:durableId="1278217479">
    <w:abstractNumId w:val="9"/>
  </w:num>
  <w:num w:numId="52" w16cid:durableId="587230297">
    <w:abstractNumId w:val="8"/>
  </w:num>
  <w:num w:numId="53" w16cid:durableId="1606498269">
    <w:abstractNumId w:val="7"/>
  </w:num>
  <w:num w:numId="54" w16cid:durableId="1451703920">
    <w:abstractNumId w:val="6"/>
  </w:num>
  <w:num w:numId="55" w16cid:durableId="1593931688">
    <w:abstractNumId w:val="37"/>
  </w:num>
  <w:num w:numId="56" w16cid:durableId="385373132">
    <w:abstractNumId w:val="29"/>
  </w:num>
  <w:num w:numId="57" w16cid:durableId="1981837909">
    <w:abstractNumId w:val="30"/>
  </w:num>
  <w:num w:numId="58" w16cid:durableId="701128259">
    <w:abstractNumId w:val="24"/>
  </w:num>
  <w:num w:numId="59" w16cid:durableId="1370179800">
    <w:abstractNumId w:val="63"/>
  </w:num>
  <w:num w:numId="60" w16cid:durableId="2092316552">
    <w:abstractNumId w:val="51"/>
  </w:num>
  <w:num w:numId="61" w16cid:durableId="944850276">
    <w:abstractNumId w:val="36"/>
  </w:num>
  <w:num w:numId="62" w16cid:durableId="964233861">
    <w:abstractNumId w:val="42"/>
  </w:num>
  <w:num w:numId="63" w16cid:durableId="449860742">
    <w:abstractNumId w:val="67"/>
  </w:num>
  <w:num w:numId="64" w16cid:durableId="1511793788">
    <w:abstractNumId w:val="31"/>
  </w:num>
  <w:num w:numId="65" w16cid:durableId="1360350328">
    <w:abstractNumId w:val="55"/>
  </w:num>
  <w:num w:numId="66" w16cid:durableId="720862118">
    <w:abstractNumId w:val="61"/>
  </w:num>
  <w:num w:numId="67" w16cid:durableId="1966160592">
    <w:abstractNumId w:val="41"/>
  </w:num>
  <w:num w:numId="68" w16cid:durableId="25790539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6F62"/>
    <w:rsid w:val="000271C0"/>
    <w:rsid w:val="000300F9"/>
    <w:rsid w:val="000318F0"/>
    <w:rsid w:val="00031FC8"/>
    <w:rsid w:val="0003302B"/>
    <w:rsid w:val="00037A69"/>
    <w:rsid w:val="0004683C"/>
    <w:rsid w:val="00050775"/>
    <w:rsid w:val="0005432A"/>
    <w:rsid w:val="00057257"/>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597D"/>
    <w:rsid w:val="000C7FF1"/>
    <w:rsid w:val="000D18C5"/>
    <w:rsid w:val="000D3E8B"/>
    <w:rsid w:val="000D4773"/>
    <w:rsid w:val="000D6096"/>
    <w:rsid w:val="000D7C35"/>
    <w:rsid w:val="000E03EA"/>
    <w:rsid w:val="000E1118"/>
    <w:rsid w:val="000E363C"/>
    <w:rsid w:val="000E5645"/>
    <w:rsid w:val="000E56BA"/>
    <w:rsid w:val="000E707B"/>
    <w:rsid w:val="000E777E"/>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67C81"/>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2A2C"/>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4387"/>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B7729"/>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5809"/>
    <w:rsid w:val="00407EEC"/>
    <w:rsid w:val="0041437E"/>
    <w:rsid w:val="004169C3"/>
    <w:rsid w:val="00417427"/>
    <w:rsid w:val="00420CA7"/>
    <w:rsid w:val="0042572A"/>
    <w:rsid w:val="00426E45"/>
    <w:rsid w:val="004310D0"/>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212"/>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0F4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6EE3"/>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0DF8"/>
    <w:rsid w:val="006B1014"/>
    <w:rsid w:val="006B2ADC"/>
    <w:rsid w:val="006B3064"/>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67187"/>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489A"/>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4918"/>
    <w:rsid w:val="0088532D"/>
    <w:rsid w:val="008867B6"/>
    <w:rsid w:val="00895883"/>
    <w:rsid w:val="0089756B"/>
    <w:rsid w:val="008A4449"/>
    <w:rsid w:val="008A4EC7"/>
    <w:rsid w:val="008A4FD2"/>
    <w:rsid w:val="008A58DA"/>
    <w:rsid w:val="008A5D5D"/>
    <w:rsid w:val="008A5FAB"/>
    <w:rsid w:val="008B1ACE"/>
    <w:rsid w:val="008B3072"/>
    <w:rsid w:val="008B5D04"/>
    <w:rsid w:val="008B7812"/>
    <w:rsid w:val="008B7BDC"/>
    <w:rsid w:val="008C1AE7"/>
    <w:rsid w:val="008C2E9A"/>
    <w:rsid w:val="008C5314"/>
    <w:rsid w:val="008C6BA5"/>
    <w:rsid w:val="008D0216"/>
    <w:rsid w:val="008D5356"/>
    <w:rsid w:val="008D5531"/>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390F"/>
    <w:rsid w:val="00927462"/>
    <w:rsid w:val="009310FA"/>
    <w:rsid w:val="00931B1C"/>
    <w:rsid w:val="00933A23"/>
    <w:rsid w:val="00934DDF"/>
    <w:rsid w:val="0093657D"/>
    <w:rsid w:val="00936F92"/>
    <w:rsid w:val="00941C5D"/>
    <w:rsid w:val="00943EE4"/>
    <w:rsid w:val="009504BD"/>
    <w:rsid w:val="00951198"/>
    <w:rsid w:val="00951CF8"/>
    <w:rsid w:val="00953353"/>
    <w:rsid w:val="00954A5B"/>
    <w:rsid w:val="00954A69"/>
    <w:rsid w:val="0095666C"/>
    <w:rsid w:val="00956D53"/>
    <w:rsid w:val="0096124B"/>
    <w:rsid w:val="00962755"/>
    <w:rsid w:val="00964AB8"/>
    <w:rsid w:val="00964DC3"/>
    <w:rsid w:val="00965780"/>
    <w:rsid w:val="00966C0C"/>
    <w:rsid w:val="009703E2"/>
    <w:rsid w:val="0097460C"/>
    <w:rsid w:val="00976AC7"/>
    <w:rsid w:val="00980F0C"/>
    <w:rsid w:val="009812E6"/>
    <w:rsid w:val="00985737"/>
    <w:rsid w:val="00995628"/>
    <w:rsid w:val="00997E9C"/>
    <w:rsid w:val="009A0ED5"/>
    <w:rsid w:val="009A2173"/>
    <w:rsid w:val="009A2F6D"/>
    <w:rsid w:val="009A3FBC"/>
    <w:rsid w:val="009A49E6"/>
    <w:rsid w:val="009A7D24"/>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5164"/>
    <w:rsid w:val="00A47CE4"/>
    <w:rsid w:val="00A50034"/>
    <w:rsid w:val="00A53E99"/>
    <w:rsid w:val="00A54648"/>
    <w:rsid w:val="00A5566B"/>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0C41"/>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86E0F"/>
    <w:rsid w:val="00B9035C"/>
    <w:rsid w:val="00B910FE"/>
    <w:rsid w:val="00B94020"/>
    <w:rsid w:val="00B94395"/>
    <w:rsid w:val="00B94E5E"/>
    <w:rsid w:val="00B951EC"/>
    <w:rsid w:val="00B95365"/>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BF5D21"/>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66CE6"/>
    <w:rsid w:val="00C70721"/>
    <w:rsid w:val="00C7128B"/>
    <w:rsid w:val="00C72DF6"/>
    <w:rsid w:val="00C74FD6"/>
    <w:rsid w:val="00C77B01"/>
    <w:rsid w:val="00C83DF8"/>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2F1E"/>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612"/>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62C"/>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1B0"/>
    <w:rsid w:val="00FB35A8"/>
    <w:rsid w:val="00FB56EA"/>
    <w:rsid w:val="00FC0E4B"/>
    <w:rsid w:val="00FC0F25"/>
    <w:rsid w:val="00FC18BD"/>
    <w:rsid w:val="00FC3F11"/>
    <w:rsid w:val="00FC5850"/>
    <w:rsid w:val="00FC5E13"/>
    <w:rsid w:val="00FC665F"/>
    <w:rsid w:val="00FD1194"/>
    <w:rsid w:val="00FD15A3"/>
    <w:rsid w:val="00FD20DF"/>
    <w:rsid w:val="00FD2E3C"/>
    <w:rsid w:val="00FD5C08"/>
    <w:rsid w:val="00FD6095"/>
    <w:rsid w:val="00FE05FA"/>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cfp@unwomen.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geo.cfp@unwomen.org" TargetMode="External"/><Relationship Id="rId17" Type="http://schemas.openxmlformats.org/officeDocument/2006/relationships/hyperlink" Target="mailto:geo.cfp@unwome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women.org/en/digital-library/publications/2013/10/voices-against-violence-curricul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eca.unwomen.org/en/what-we-do/ending-violence-against-women/eu-4-gender-equality"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cfp@unwomen.org" TargetMode="External"/><Relationship Id="rId22" Type="http://schemas.openxmlformats.org/officeDocument/2006/relationships/hyperlink" Target="https://www.un.org/sc/suborg/en/sanctions/un-sc-consolidated-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1" ma:contentTypeDescription="" ma:contentTypeScope="" ma:versionID="23d69a063f62739d4b035d9b4845afed">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422db797d2161808e0b07e8f6039281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mp;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mp;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Topic xmlns="a15e0e0f-4f4a-4916-abd0-83d6a9ed72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E628C353-1F3E-499A-8E72-617BB057F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7429</Words>
  <Characters>42349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49679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Salome Ichkiti</cp:lastModifiedBy>
  <cp:revision>19</cp:revision>
  <dcterms:created xsi:type="dcterms:W3CDTF">2024-04-17T08:53:00Z</dcterms:created>
  <dcterms:modified xsi:type="dcterms:W3CDTF">2024-05-07T07:41:00Z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