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910" w:type="dxa"/>
        <w:jc w:val="center"/>
        <w:tblInd w:w="-610" w:type="dxa"/>
        <w:tblLayout w:type="fixed"/>
        <w:tblCellMar>
          <w:left w:w="115" w:type="dxa"/>
          <w:right w:w="115" w:type="dxa"/>
        </w:tblCellMar>
        <w:tblLook w:val="01E0"/>
      </w:tblPr>
      <w:tblGrid>
        <w:gridCol w:w="7435"/>
        <w:gridCol w:w="3475"/>
      </w:tblGrid>
      <w:tr w:rsidR="002C1B6D" w:rsidRPr="00AF1C6B" w:rsidTr="0008793E">
        <w:trPr>
          <w:trHeight w:val="304"/>
          <w:jc w:val="center"/>
        </w:trPr>
        <w:tc>
          <w:tcPr>
            <w:tcW w:w="7435" w:type="dxa"/>
            <w:vMerge w:val="restart"/>
          </w:tcPr>
          <w:p w:rsidR="002C1B6D" w:rsidRPr="00FA150C" w:rsidRDefault="003E385B" w:rsidP="002C1B6D">
            <w:pPr>
              <w:ind w:right="360"/>
              <w:rPr>
                <w:rFonts w:asciiTheme="minorHAnsi" w:hAnsiTheme="minorHAnsi" w:cs="Calibri"/>
                <w:b/>
                <w:color w:val="FF0000"/>
                <w:sz w:val="28"/>
                <w:szCs w:val="28"/>
              </w:rPr>
            </w:pPr>
            <w:r w:rsidRPr="00FA150C">
              <w:rPr>
                <w:rFonts w:asciiTheme="minorHAnsi" w:hAnsiTheme="minorHAnsi"/>
                <w:b/>
                <w:sz w:val="28"/>
                <w:szCs w:val="28"/>
              </w:rPr>
              <w:t>Promoting Gender Responsive Policies in South East Europe – Phase II</w:t>
            </w:r>
            <w:r w:rsidRPr="00FA150C">
              <w:rPr>
                <w:rFonts w:asciiTheme="minorHAnsi" w:hAnsiTheme="minorHAnsi" w:cs="Calibri"/>
                <w:b/>
                <w:sz w:val="28"/>
                <w:szCs w:val="28"/>
              </w:rPr>
              <w:t xml:space="preserve"> </w:t>
            </w:r>
          </w:p>
          <w:p w:rsidR="003E385B" w:rsidRPr="00932BD8" w:rsidRDefault="003E385B" w:rsidP="002C1B6D">
            <w:pPr>
              <w:ind w:right="360"/>
              <w:rPr>
                <w:rFonts w:ascii="Calibri" w:hAnsi="Calibri" w:cs="Calibri"/>
                <w:b/>
                <w:color w:val="FF0000"/>
                <w:sz w:val="20"/>
                <w:szCs w:val="20"/>
              </w:rPr>
            </w:pPr>
          </w:p>
          <w:p w:rsidR="002C1B6D" w:rsidRPr="000536BA" w:rsidRDefault="002C1B6D" w:rsidP="002C1B6D">
            <w:pPr>
              <w:ind w:right="360"/>
              <w:rPr>
                <w:rFonts w:ascii="Calibri" w:hAnsi="Calibri" w:cs="Calibri"/>
                <w:b/>
                <w:color w:val="0070C0"/>
              </w:rPr>
            </w:pPr>
            <w:r w:rsidRPr="000536BA">
              <w:rPr>
                <w:rFonts w:ascii="Calibri" w:hAnsi="Calibri" w:cs="Calibri"/>
                <w:b/>
                <w:color w:val="0070C0"/>
              </w:rPr>
              <w:t>Overview</w:t>
            </w:r>
          </w:p>
          <w:p w:rsidR="003E385B" w:rsidRDefault="003E385B" w:rsidP="003E385B">
            <w:pPr>
              <w:jc w:val="both"/>
              <w:rPr>
                <w:rFonts w:asciiTheme="minorHAnsi" w:hAnsiTheme="minorHAnsi"/>
                <w:sz w:val="22"/>
              </w:rPr>
            </w:pPr>
            <w:r w:rsidRPr="003E385B">
              <w:rPr>
                <w:rFonts w:asciiTheme="minorHAnsi" w:hAnsiTheme="minorHAnsi"/>
                <w:sz w:val="22"/>
              </w:rPr>
              <w:t xml:space="preserve">Over the past years, UN Women has provided support to national and local stakeholders in strengthening democratic governance and advancing women’s rights through initiatives aimed at </w:t>
            </w:r>
            <w:r w:rsidRPr="003E385B">
              <w:rPr>
                <w:rFonts w:asciiTheme="minorHAnsi" w:hAnsiTheme="minorHAnsi"/>
                <w:b/>
                <w:sz w:val="22"/>
              </w:rPr>
              <w:t>mainstreaming gender in policy planning and budgeting</w:t>
            </w:r>
            <w:r w:rsidRPr="003E385B">
              <w:rPr>
                <w:rFonts w:asciiTheme="minorHAnsi" w:hAnsiTheme="minorHAnsi"/>
                <w:sz w:val="22"/>
              </w:rPr>
              <w:t xml:space="preserve">. </w:t>
            </w:r>
          </w:p>
          <w:p w:rsidR="003E385B" w:rsidRPr="003E385B" w:rsidRDefault="003E385B" w:rsidP="003E385B">
            <w:pPr>
              <w:jc w:val="both"/>
              <w:rPr>
                <w:rFonts w:asciiTheme="minorHAnsi" w:hAnsiTheme="minorHAnsi"/>
                <w:sz w:val="22"/>
              </w:rPr>
            </w:pPr>
          </w:p>
          <w:p w:rsidR="003E385B" w:rsidRPr="00002056" w:rsidRDefault="003E385B" w:rsidP="003E385B">
            <w:pPr>
              <w:jc w:val="both"/>
              <w:rPr>
                <w:rFonts w:asciiTheme="minorHAnsi" w:hAnsiTheme="minorHAnsi"/>
                <w:sz w:val="22"/>
              </w:rPr>
            </w:pPr>
            <w:r w:rsidRPr="003E385B">
              <w:rPr>
                <w:rFonts w:asciiTheme="minorHAnsi" w:hAnsiTheme="minorHAnsi"/>
                <w:sz w:val="22"/>
              </w:rPr>
              <w:t xml:space="preserve">In 2014, UN Women launched the 3-year </w:t>
            </w:r>
            <w:r w:rsidR="00002056">
              <w:rPr>
                <w:rFonts w:asciiTheme="minorHAnsi" w:hAnsiTheme="minorHAnsi"/>
                <w:sz w:val="22"/>
              </w:rPr>
              <w:t>r</w:t>
            </w:r>
            <w:r w:rsidRPr="003E385B">
              <w:rPr>
                <w:rFonts w:asciiTheme="minorHAnsi" w:hAnsiTheme="minorHAnsi"/>
                <w:b/>
                <w:sz w:val="22"/>
              </w:rPr>
              <w:t xml:space="preserve">egional </w:t>
            </w:r>
            <w:r w:rsidR="00002056">
              <w:rPr>
                <w:rFonts w:asciiTheme="minorHAnsi" w:hAnsiTheme="minorHAnsi"/>
                <w:b/>
                <w:sz w:val="22"/>
              </w:rPr>
              <w:t>project</w:t>
            </w:r>
            <w:r w:rsidRPr="003E385B">
              <w:rPr>
                <w:rFonts w:asciiTheme="minorHAnsi" w:hAnsiTheme="minorHAnsi"/>
                <w:sz w:val="22"/>
              </w:rPr>
              <w:t xml:space="preserve"> on Promoting Gender Responsive Policies in South East Europe and</w:t>
            </w:r>
            <w:r w:rsidRPr="003E385B">
              <w:rPr>
                <w:rFonts w:asciiTheme="minorHAnsi" w:hAnsiTheme="minorHAnsi"/>
                <w:sz w:val="22"/>
                <w:lang w:val="mk-MK"/>
              </w:rPr>
              <w:t xml:space="preserve"> Republic of</w:t>
            </w:r>
            <w:r w:rsidRPr="003E385B">
              <w:rPr>
                <w:rFonts w:asciiTheme="minorHAnsi" w:hAnsiTheme="minorHAnsi"/>
                <w:sz w:val="22"/>
              </w:rPr>
              <w:t xml:space="preserve"> Moldova financed by Austrian Development Agency and Swiss </w:t>
            </w:r>
            <w:r w:rsidRPr="003E385B">
              <w:rPr>
                <w:rFonts w:asciiTheme="minorHAnsi" w:hAnsiTheme="minorHAnsi"/>
                <w:sz w:val="22"/>
                <w:lang w:val="mk-MK"/>
              </w:rPr>
              <w:t xml:space="preserve">Agency </w:t>
            </w:r>
            <w:r w:rsidRPr="003E385B">
              <w:rPr>
                <w:rFonts w:asciiTheme="minorHAnsi" w:hAnsiTheme="minorHAnsi"/>
                <w:sz w:val="22"/>
              </w:rPr>
              <w:t xml:space="preserve">Development </w:t>
            </w:r>
            <w:r w:rsidRPr="003E385B">
              <w:rPr>
                <w:rFonts w:asciiTheme="minorHAnsi" w:hAnsiTheme="minorHAnsi"/>
                <w:sz w:val="22"/>
                <w:lang w:val="mk-MK"/>
              </w:rPr>
              <w:t xml:space="preserve">and </w:t>
            </w:r>
            <w:r w:rsidRPr="003E385B">
              <w:rPr>
                <w:rFonts w:asciiTheme="minorHAnsi" w:hAnsiTheme="minorHAnsi"/>
                <w:sz w:val="22"/>
              </w:rPr>
              <w:t xml:space="preserve">Cooperation. It is a direct follow up of the UN Women CSEE regional </w:t>
            </w:r>
            <w:r w:rsidR="00002056">
              <w:rPr>
                <w:rFonts w:asciiTheme="minorHAnsi" w:hAnsiTheme="minorHAnsi"/>
                <w:sz w:val="22"/>
              </w:rPr>
              <w:t>project</w:t>
            </w:r>
            <w:r w:rsidRPr="003E385B">
              <w:rPr>
                <w:rFonts w:asciiTheme="minorHAnsi" w:hAnsiTheme="minorHAnsi"/>
                <w:sz w:val="22"/>
              </w:rPr>
              <w:t xml:space="preserve"> </w:t>
            </w:r>
            <w:r w:rsidRPr="003E385B">
              <w:rPr>
                <w:rFonts w:asciiTheme="minorHAnsi" w:hAnsiTheme="minorHAnsi"/>
                <w:noProof/>
                <w:sz w:val="22"/>
              </w:rPr>
              <w:t>“Promoting Gender Responsive Policies in South East Europe” (2011 -2013) that covered Albania, Bosnia and Herzegovina and the Former Yugoslav Republic (FYR) of Macedonia.</w:t>
            </w:r>
            <w:r w:rsidRPr="003E385B">
              <w:rPr>
                <w:rFonts w:asciiTheme="minorHAnsi" w:hAnsiTheme="minorHAnsi"/>
                <w:b/>
                <w:noProof/>
                <w:sz w:val="22"/>
              </w:rPr>
              <w:t xml:space="preserve"> </w:t>
            </w:r>
            <w:r w:rsidRPr="003E385B">
              <w:rPr>
                <w:rFonts w:asciiTheme="minorHAnsi" w:hAnsiTheme="minorHAnsi"/>
                <w:sz w:val="22"/>
              </w:rPr>
              <w:t xml:space="preserve">The final evaluation of this </w:t>
            </w:r>
            <w:r w:rsidR="00002056">
              <w:rPr>
                <w:rFonts w:asciiTheme="minorHAnsi" w:hAnsiTheme="minorHAnsi"/>
                <w:sz w:val="22"/>
              </w:rPr>
              <w:t>project</w:t>
            </w:r>
            <w:r w:rsidRPr="003E385B">
              <w:rPr>
                <w:rFonts w:asciiTheme="minorHAnsi" w:hAnsiTheme="minorHAnsi"/>
                <w:sz w:val="22"/>
              </w:rPr>
              <w:t xml:space="preserve"> recommended continuation of activities especially with regard to </w:t>
            </w:r>
            <w:r w:rsidRPr="003E385B">
              <w:rPr>
                <w:rFonts w:asciiTheme="minorHAnsi" w:hAnsiTheme="minorHAnsi"/>
                <w:b/>
                <w:sz w:val="22"/>
              </w:rPr>
              <w:t>institutional capacity building and increased involvement of key budget actors at the required decision-making levels</w:t>
            </w:r>
            <w:r w:rsidRPr="003E385B">
              <w:rPr>
                <w:rFonts w:asciiTheme="minorHAnsi" w:hAnsiTheme="minorHAnsi"/>
                <w:sz w:val="22"/>
              </w:rPr>
              <w:t xml:space="preserve">. </w:t>
            </w:r>
          </w:p>
          <w:p w:rsidR="002C1B6D" w:rsidRPr="00E54031" w:rsidRDefault="002C1B6D" w:rsidP="002C1B6D">
            <w:pPr>
              <w:autoSpaceDE w:val="0"/>
              <w:autoSpaceDN w:val="0"/>
              <w:adjustRightInd w:val="0"/>
              <w:ind w:right="-108"/>
              <w:jc w:val="both"/>
              <w:rPr>
                <w:rFonts w:ascii="Calibri" w:hAnsi="Calibri"/>
                <w:color w:val="000000"/>
                <w:sz w:val="22"/>
                <w:szCs w:val="22"/>
                <w:lang w:val="en-CA"/>
              </w:rPr>
            </w:pPr>
          </w:p>
          <w:p w:rsidR="002C1B6D" w:rsidRPr="00BD553F" w:rsidRDefault="002C1B6D" w:rsidP="002C1B6D">
            <w:pPr>
              <w:autoSpaceDE w:val="0"/>
              <w:autoSpaceDN w:val="0"/>
              <w:adjustRightInd w:val="0"/>
              <w:rPr>
                <w:rFonts w:ascii="Calibri" w:hAnsi="Calibri" w:cs="Calibri"/>
                <w:b/>
                <w:bCs/>
                <w:color w:val="0070C0"/>
              </w:rPr>
            </w:pPr>
            <w:r w:rsidRPr="00BD553F">
              <w:rPr>
                <w:rFonts w:ascii="Calibri" w:hAnsi="Calibri" w:cs="Calibri"/>
                <w:b/>
                <w:bCs/>
                <w:color w:val="0070C0"/>
              </w:rPr>
              <w:t xml:space="preserve">Background </w:t>
            </w:r>
          </w:p>
          <w:p w:rsidR="009E0AE0" w:rsidRDefault="00375786" w:rsidP="00375786">
            <w:pPr>
              <w:jc w:val="both"/>
              <w:rPr>
                <w:rFonts w:ascii="Calibri" w:hAnsi="Calibri" w:cs="Arial"/>
                <w:sz w:val="22"/>
              </w:rPr>
            </w:pPr>
            <w:r w:rsidRPr="006F0255">
              <w:rPr>
                <w:rFonts w:ascii="Calibri" w:hAnsi="Calibri" w:cs="Arial"/>
                <w:sz w:val="22"/>
              </w:rPr>
              <w:t xml:space="preserve">The </w:t>
            </w:r>
            <w:r w:rsidR="004A13F2">
              <w:rPr>
                <w:rFonts w:ascii="Calibri" w:hAnsi="Calibri" w:cs="Arial"/>
                <w:sz w:val="22"/>
              </w:rPr>
              <w:t>new</w:t>
            </w:r>
            <w:r w:rsidR="00F32FF9">
              <w:rPr>
                <w:rFonts w:ascii="Calibri" w:hAnsi="Calibri" w:cs="Arial"/>
                <w:sz w:val="22"/>
              </w:rPr>
              <w:t xml:space="preserve"> </w:t>
            </w:r>
            <w:r w:rsidR="00002056">
              <w:rPr>
                <w:rFonts w:ascii="Calibri" w:hAnsi="Calibri" w:cs="Arial"/>
                <w:sz w:val="22"/>
              </w:rPr>
              <w:t>regional project</w:t>
            </w:r>
            <w:r w:rsidRPr="006F0255">
              <w:rPr>
                <w:rFonts w:ascii="Calibri" w:hAnsi="Calibri" w:cs="Arial"/>
                <w:sz w:val="22"/>
              </w:rPr>
              <w:t xml:space="preserve"> </w:t>
            </w:r>
            <w:r w:rsidR="00F32FF9">
              <w:rPr>
                <w:rFonts w:ascii="Calibri" w:hAnsi="Calibri" w:cs="Arial"/>
                <w:sz w:val="22"/>
              </w:rPr>
              <w:t>will</w:t>
            </w:r>
            <w:r w:rsidRPr="006F0255">
              <w:rPr>
                <w:rFonts w:ascii="Calibri" w:hAnsi="Calibri" w:cs="Arial"/>
                <w:sz w:val="22"/>
              </w:rPr>
              <w:t xml:space="preserve"> continue </w:t>
            </w:r>
            <w:r w:rsidR="004A13F2">
              <w:rPr>
                <w:rFonts w:ascii="Calibri" w:hAnsi="Calibri" w:cs="Arial"/>
                <w:sz w:val="22"/>
              </w:rPr>
              <w:t xml:space="preserve">contributing </w:t>
            </w:r>
            <w:r w:rsidRPr="006F0255">
              <w:rPr>
                <w:rFonts w:ascii="Calibri" w:hAnsi="Calibri" w:cs="Arial"/>
                <w:sz w:val="22"/>
              </w:rPr>
              <w:t xml:space="preserve">to the implementation of international and national gender equality commitments while maintaining and deepening the involvement of governmental and non-governmental actors. </w:t>
            </w:r>
          </w:p>
          <w:p w:rsidR="004A13F2" w:rsidRDefault="004A13F2" w:rsidP="00375786">
            <w:pPr>
              <w:jc w:val="both"/>
              <w:rPr>
                <w:rFonts w:ascii="Calibri" w:hAnsi="Calibri" w:cs="Arial"/>
                <w:sz w:val="22"/>
              </w:rPr>
            </w:pPr>
          </w:p>
          <w:p w:rsidR="009E0AE0" w:rsidRPr="00944320" w:rsidRDefault="009E0AE0" w:rsidP="00375786">
            <w:pPr>
              <w:jc w:val="both"/>
              <w:rPr>
                <w:rFonts w:asciiTheme="minorHAnsi" w:hAnsiTheme="minorHAnsi" w:cs="Arial"/>
                <w:sz w:val="20"/>
              </w:rPr>
            </w:pPr>
            <w:r w:rsidRPr="00944320">
              <w:rPr>
                <w:rFonts w:asciiTheme="minorHAnsi" w:hAnsiTheme="minorHAnsi"/>
                <w:sz w:val="22"/>
              </w:rPr>
              <w:t xml:space="preserve">In </w:t>
            </w:r>
            <w:r w:rsidRPr="00944320">
              <w:rPr>
                <w:rFonts w:asciiTheme="minorHAnsi" w:hAnsiTheme="minorHAnsi"/>
                <w:b/>
                <w:sz w:val="22"/>
              </w:rPr>
              <w:t>Bosnia and Herzegovina (BiH)</w:t>
            </w:r>
            <w:r w:rsidRPr="00944320">
              <w:rPr>
                <w:rFonts w:asciiTheme="minorHAnsi" w:hAnsiTheme="minorHAnsi"/>
                <w:sz w:val="22"/>
              </w:rPr>
              <w:t xml:space="preserve">, the </w:t>
            </w:r>
            <w:r w:rsidR="00002056">
              <w:rPr>
                <w:rFonts w:asciiTheme="minorHAnsi" w:hAnsiTheme="minorHAnsi"/>
                <w:sz w:val="22"/>
              </w:rPr>
              <w:t>project</w:t>
            </w:r>
            <w:r w:rsidRPr="00944320">
              <w:rPr>
                <w:rFonts w:asciiTheme="minorHAnsi" w:hAnsiTheme="minorHAnsi"/>
                <w:sz w:val="22"/>
              </w:rPr>
              <w:t xml:space="preserve"> will support government at the </w:t>
            </w:r>
            <w:r w:rsidRPr="00DD1F03">
              <w:rPr>
                <w:rFonts w:asciiTheme="minorHAnsi" w:hAnsiTheme="minorHAnsi"/>
                <w:b/>
                <w:sz w:val="22"/>
              </w:rPr>
              <w:t>state and entity levels</w:t>
            </w:r>
            <w:r w:rsidRPr="00944320">
              <w:rPr>
                <w:rFonts w:asciiTheme="minorHAnsi" w:hAnsiTheme="minorHAnsi"/>
                <w:sz w:val="22"/>
              </w:rPr>
              <w:t xml:space="preserve"> to implement key national laws (in particular the Gender Equality Law) and to fulfill their commitments to women’s empowerment and gender equality as formulated in the Country Development Strategy for BiH (2009-2014) and BiH Gender Action Plan (GAP 2013-2017). The </w:t>
            </w:r>
            <w:r w:rsidR="00002056">
              <w:rPr>
                <w:rFonts w:asciiTheme="minorHAnsi" w:hAnsiTheme="minorHAnsi"/>
                <w:sz w:val="22"/>
              </w:rPr>
              <w:t>project</w:t>
            </w:r>
            <w:r w:rsidRPr="00944320">
              <w:rPr>
                <w:rFonts w:asciiTheme="minorHAnsi" w:hAnsiTheme="minorHAnsi"/>
                <w:sz w:val="22"/>
              </w:rPr>
              <w:t xml:space="preserve"> will also respond to the demand of the government and donors for introduction of gender equality principles into official budget planning using the public finance reforms and shift towards programme-based budgeting as an entry point. At the entity level, the </w:t>
            </w:r>
            <w:r w:rsidR="00DD1F03">
              <w:rPr>
                <w:rFonts w:asciiTheme="minorHAnsi" w:hAnsiTheme="minorHAnsi"/>
                <w:sz w:val="22"/>
              </w:rPr>
              <w:t>p</w:t>
            </w:r>
            <w:r w:rsidR="00002056">
              <w:rPr>
                <w:rFonts w:asciiTheme="minorHAnsi" w:hAnsiTheme="minorHAnsi"/>
                <w:sz w:val="22"/>
              </w:rPr>
              <w:t>roject</w:t>
            </w:r>
            <w:r w:rsidRPr="00944320">
              <w:rPr>
                <w:rFonts w:asciiTheme="minorHAnsi" w:hAnsiTheme="minorHAnsi"/>
                <w:sz w:val="22"/>
              </w:rPr>
              <w:t xml:space="preserve"> will support the implementation of the Action Plan for Introduction of GRB in the Pilot Institutions in Federation </w:t>
            </w:r>
            <w:r w:rsidR="00DD1F03">
              <w:rPr>
                <w:rFonts w:asciiTheme="minorHAnsi" w:hAnsiTheme="minorHAnsi"/>
                <w:sz w:val="22"/>
              </w:rPr>
              <w:t xml:space="preserve">of </w:t>
            </w:r>
            <w:r w:rsidRPr="00944320">
              <w:rPr>
                <w:rFonts w:asciiTheme="minorHAnsi" w:hAnsiTheme="minorHAnsi"/>
                <w:sz w:val="22"/>
              </w:rPr>
              <w:t>BiH and the Republika Srpska Strategic Plan for Rural Development (2009-2015), in particular, the RS Action Plan for the advancement of Rural Women (2009-2015).</w:t>
            </w:r>
            <w:r w:rsidR="004A13F2">
              <w:rPr>
                <w:rFonts w:asciiTheme="minorHAnsi" w:hAnsiTheme="minorHAnsi"/>
                <w:sz w:val="22"/>
              </w:rPr>
              <w:t xml:space="preserve"> It will also work with a number of </w:t>
            </w:r>
            <w:r w:rsidR="004A13F2" w:rsidRPr="00DD1F03">
              <w:rPr>
                <w:rFonts w:asciiTheme="minorHAnsi" w:hAnsiTheme="minorHAnsi"/>
                <w:b/>
                <w:sz w:val="22"/>
              </w:rPr>
              <w:t>municipalities</w:t>
            </w:r>
            <w:r w:rsidR="004A13F2">
              <w:rPr>
                <w:rFonts w:asciiTheme="minorHAnsi" w:hAnsiTheme="minorHAnsi"/>
                <w:sz w:val="22"/>
              </w:rPr>
              <w:t xml:space="preserve"> on bringing gender perspective into local budgets.</w:t>
            </w:r>
          </w:p>
          <w:p w:rsidR="00375786" w:rsidRDefault="00375786" w:rsidP="00AF3AAD">
            <w:pPr>
              <w:jc w:val="both"/>
              <w:rPr>
                <w:rFonts w:ascii="Calibri" w:hAnsi="Calibri"/>
                <w:b/>
                <w:sz w:val="22"/>
                <w:szCs w:val="16"/>
              </w:rPr>
            </w:pPr>
          </w:p>
          <w:p w:rsidR="006F0255" w:rsidRPr="006F0255" w:rsidRDefault="006F0255" w:rsidP="00AF3AAD">
            <w:pPr>
              <w:jc w:val="both"/>
              <w:rPr>
                <w:rFonts w:ascii="Calibri" w:hAnsi="Calibri"/>
                <w:sz w:val="22"/>
              </w:rPr>
            </w:pPr>
            <w:r w:rsidRPr="006F0255">
              <w:rPr>
                <w:rFonts w:ascii="Calibri" w:hAnsi="Calibri"/>
                <w:sz w:val="22"/>
              </w:rPr>
              <w:t>The demand-driven and targeted technical assistance on GRB provided to government institutions, public administration and civil society organizations</w:t>
            </w:r>
            <w:r w:rsidR="00375786">
              <w:rPr>
                <w:rFonts w:ascii="Calibri" w:hAnsi="Calibri"/>
                <w:sz w:val="22"/>
              </w:rPr>
              <w:t xml:space="preserve"> during phase I</w:t>
            </w:r>
            <w:r w:rsidRPr="006F0255">
              <w:rPr>
                <w:rFonts w:ascii="Calibri" w:hAnsi="Calibri"/>
                <w:sz w:val="22"/>
              </w:rPr>
              <w:t xml:space="preserve">, paved the way for the </w:t>
            </w:r>
            <w:r w:rsidR="00375786">
              <w:rPr>
                <w:rFonts w:ascii="Calibri" w:hAnsi="Calibri"/>
                <w:sz w:val="22"/>
              </w:rPr>
              <w:t>second</w:t>
            </w:r>
            <w:r w:rsidRPr="006F0255">
              <w:rPr>
                <w:rFonts w:ascii="Calibri" w:hAnsi="Calibri"/>
                <w:sz w:val="22"/>
              </w:rPr>
              <w:t xml:space="preserve"> phase which should </w:t>
            </w:r>
            <w:r w:rsidRPr="006F0255">
              <w:rPr>
                <w:rFonts w:ascii="Calibri" w:hAnsi="Calibri"/>
                <w:b/>
                <w:sz w:val="22"/>
              </w:rPr>
              <w:t>further institutionalise GRB</w:t>
            </w:r>
            <w:r w:rsidRPr="006F0255">
              <w:rPr>
                <w:rFonts w:ascii="Calibri" w:hAnsi="Calibri"/>
                <w:sz w:val="22"/>
              </w:rPr>
              <w:t>, address selected institutional gaps and to more holistically</w:t>
            </w:r>
            <w:bookmarkStart w:id="0" w:name="_GoBack"/>
            <w:bookmarkEnd w:id="0"/>
            <w:r w:rsidRPr="006F0255">
              <w:rPr>
                <w:rFonts w:ascii="Calibri" w:hAnsi="Calibri"/>
                <w:sz w:val="22"/>
              </w:rPr>
              <w:t xml:space="preserve"> impact on the public policy and budgeting systems of the countries. </w:t>
            </w:r>
          </w:p>
          <w:p w:rsidR="002C1B6D" w:rsidRDefault="002C1B6D" w:rsidP="002C1B6D">
            <w:pPr>
              <w:autoSpaceDE w:val="0"/>
              <w:autoSpaceDN w:val="0"/>
              <w:adjustRightInd w:val="0"/>
              <w:jc w:val="both"/>
              <w:rPr>
                <w:rFonts w:ascii="Calibri" w:hAnsi="Calibri" w:cs="Calibri"/>
                <w:color w:val="FF0000"/>
                <w:sz w:val="20"/>
                <w:szCs w:val="20"/>
                <w:lang w:eastAsia="is-IS"/>
              </w:rPr>
            </w:pPr>
          </w:p>
          <w:p w:rsidR="002C1B6D" w:rsidRPr="00BD553F" w:rsidRDefault="00002056" w:rsidP="002C1B6D">
            <w:pPr>
              <w:jc w:val="both"/>
              <w:rPr>
                <w:rFonts w:ascii="Calibri" w:hAnsi="Calibri" w:cs="Calibri"/>
                <w:b/>
                <w:color w:val="0070C0"/>
              </w:rPr>
            </w:pPr>
            <w:r>
              <w:rPr>
                <w:rFonts w:ascii="Calibri" w:hAnsi="Calibri" w:cs="Calibri"/>
                <w:b/>
                <w:color w:val="0070C0"/>
              </w:rPr>
              <w:t>Project</w:t>
            </w:r>
            <w:r w:rsidR="002C1B6D" w:rsidRPr="00BD553F">
              <w:rPr>
                <w:rFonts w:ascii="Calibri" w:hAnsi="Calibri" w:cs="Calibri"/>
                <w:b/>
                <w:color w:val="0070C0"/>
              </w:rPr>
              <w:t xml:space="preserve"> Description</w:t>
            </w:r>
          </w:p>
          <w:p w:rsidR="00DE67CA" w:rsidRDefault="00DE67CA" w:rsidP="00DE67CA">
            <w:pPr>
              <w:pStyle w:val="BodyText1"/>
              <w:tabs>
                <w:tab w:val="left" w:pos="5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Calibri" w:hAnsi="Calibri" w:cs="Arial"/>
                <w:sz w:val="22"/>
                <w:szCs w:val="22"/>
                <w:lang w:val="en-US"/>
              </w:rPr>
            </w:pPr>
            <w:r w:rsidRPr="00DE67CA">
              <w:rPr>
                <w:rFonts w:ascii="Calibri" w:hAnsi="Calibri" w:cs="Arial"/>
                <w:sz w:val="22"/>
                <w:szCs w:val="22"/>
                <w:lang w:val="en-US"/>
              </w:rPr>
              <w:t xml:space="preserve">The overarching </w:t>
            </w:r>
            <w:r w:rsidR="00DD7599">
              <w:rPr>
                <w:rFonts w:ascii="Calibri" w:hAnsi="Calibri" w:cs="Arial"/>
                <w:sz w:val="22"/>
                <w:szCs w:val="22"/>
                <w:lang w:val="en-US"/>
              </w:rPr>
              <w:t>p</w:t>
            </w:r>
            <w:r w:rsidR="00002056">
              <w:rPr>
                <w:rFonts w:ascii="Calibri" w:hAnsi="Calibri" w:cs="Arial"/>
                <w:sz w:val="22"/>
                <w:szCs w:val="22"/>
                <w:lang w:val="en-US"/>
              </w:rPr>
              <w:t>roject</w:t>
            </w:r>
            <w:r w:rsidRPr="00DE67CA">
              <w:rPr>
                <w:rFonts w:ascii="Calibri" w:hAnsi="Calibri" w:cs="Arial"/>
                <w:sz w:val="22"/>
                <w:szCs w:val="22"/>
                <w:lang w:val="en-US"/>
              </w:rPr>
              <w:t xml:space="preserve"> objective is to contribute to the implementation of gender equality commitments as enshrined in various international human rights documents including the </w:t>
            </w:r>
            <w:r w:rsidRPr="00DE67CA">
              <w:rPr>
                <w:rFonts w:ascii="Calibri" w:hAnsi="Calibri" w:cs="Arial"/>
                <w:b/>
                <w:sz w:val="22"/>
                <w:szCs w:val="22"/>
                <w:lang w:val="en-US"/>
              </w:rPr>
              <w:t>Universal Declaration of Human Rights, CEDAW, the EU Charter of Fundamental Rights, EU Equality Directives, and national laws and strategies on gender equality</w:t>
            </w:r>
            <w:r w:rsidRPr="00DE67CA">
              <w:rPr>
                <w:rFonts w:ascii="Calibri" w:hAnsi="Calibri" w:cs="Arial"/>
                <w:sz w:val="22"/>
                <w:szCs w:val="22"/>
                <w:lang w:val="en-US"/>
              </w:rPr>
              <w:t xml:space="preserve">. </w:t>
            </w:r>
          </w:p>
          <w:p w:rsidR="00DD1F03" w:rsidRPr="00DE67CA" w:rsidRDefault="00DD1F03" w:rsidP="00DE67CA">
            <w:pPr>
              <w:pStyle w:val="BodyText1"/>
              <w:tabs>
                <w:tab w:val="left" w:pos="5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Calibri" w:hAnsi="Calibri" w:cs="Arial"/>
                <w:sz w:val="22"/>
                <w:szCs w:val="22"/>
                <w:lang w:val="en-US"/>
              </w:rPr>
            </w:pPr>
          </w:p>
          <w:p w:rsidR="00DE67CA" w:rsidRPr="005471F5" w:rsidRDefault="005471F5" w:rsidP="00DE67CA">
            <w:pPr>
              <w:pStyle w:val="BodyText1"/>
              <w:tabs>
                <w:tab w:val="left" w:pos="5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Calibri" w:hAnsi="Calibri" w:cs="Arial"/>
                <w:b/>
                <w:color w:val="0070C0"/>
                <w:sz w:val="22"/>
                <w:szCs w:val="22"/>
                <w:lang w:val="en-US"/>
              </w:rPr>
            </w:pPr>
            <w:r w:rsidRPr="005471F5">
              <w:rPr>
                <w:rFonts w:ascii="Calibri" w:hAnsi="Calibri" w:cs="Arial"/>
                <w:b/>
                <w:color w:val="0070C0"/>
                <w:sz w:val="22"/>
                <w:szCs w:val="22"/>
                <w:lang w:val="en-US"/>
              </w:rPr>
              <w:lastRenderedPageBreak/>
              <w:t>Expected Results:</w:t>
            </w:r>
            <w:r w:rsidR="00DE67CA" w:rsidRPr="005471F5">
              <w:rPr>
                <w:rFonts w:ascii="Calibri" w:hAnsi="Calibri" w:cs="Arial"/>
                <w:b/>
                <w:color w:val="0070C0"/>
                <w:sz w:val="22"/>
                <w:szCs w:val="22"/>
                <w:lang w:val="en-US"/>
              </w:rPr>
              <w:t xml:space="preserve"> </w:t>
            </w:r>
          </w:p>
          <w:p w:rsidR="00DE67CA" w:rsidRPr="009E0AE0" w:rsidRDefault="00DE67CA" w:rsidP="00DE67CA">
            <w:pPr>
              <w:pStyle w:val="BodyText1"/>
              <w:numPr>
                <w:ilvl w:val="0"/>
                <w:numId w:val="5"/>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Calibri" w:hAnsi="Calibri" w:cs="Arial"/>
                <w:sz w:val="22"/>
                <w:szCs w:val="22"/>
                <w:lang w:val="en-US"/>
              </w:rPr>
            </w:pPr>
            <w:r w:rsidRPr="009E0AE0">
              <w:rPr>
                <w:rFonts w:ascii="Calibri" w:hAnsi="Calibri" w:cs="Arial"/>
                <w:sz w:val="22"/>
                <w:szCs w:val="22"/>
                <w:lang w:val="en-US"/>
              </w:rPr>
              <w:t>Better reflection of gender equality concerns in the sectorial programs and budgets at the central and local levels.</w:t>
            </w:r>
          </w:p>
          <w:p w:rsidR="00DE67CA" w:rsidRPr="009E0AE0" w:rsidRDefault="00DE67CA" w:rsidP="00DE67CA">
            <w:pPr>
              <w:pStyle w:val="BodyText1"/>
              <w:numPr>
                <w:ilvl w:val="0"/>
                <w:numId w:val="5"/>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Calibri" w:hAnsi="Calibri" w:cs="Arial"/>
                <w:sz w:val="22"/>
                <w:szCs w:val="22"/>
                <w:lang w:val="en-US"/>
              </w:rPr>
            </w:pPr>
            <w:r w:rsidRPr="009E0AE0">
              <w:rPr>
                <w:rFonts w:ascii="Calibri" w:hAnsi="Calibri" w:cs="Arial"/>
                <w:sz w:val="22"/>
                <w:szCs w:val="22"/>
                <w:lang w:val="en-US"/>
              </w:rPr>
              <w:t>Strengthened oversight of central and local government, policies, programs, plans and budgets towards gender equality commitments.</w:t>
            </w:r>
          </w:p>
          <w:p w:rsidR="00DE67CA" w:rsidRPr="009E0AE0" w:rsidRDefault="00DE67CA" w:rsidP="00DE67CA">
            <w:pPr>
              <w:pStyle w:val="ListParagraph"/>
              <w:numPr>
                <w:ilvl w:val="0"/>
                <w:numId w:val="5"/>
              </w:numPr>
              <w:tabs>
                <w:tab w:val="left" w:pos="360"/>
              </w:tabs>
              <w:contextualSpacing/>
              <w:jc w:val="both"/>
              <w:rPr>
                <w:rFonts w:ascii="Calibri" w:hAnsi="Calibri" w:cs="Arial"/>
                <w:sz w:val="22"/>
                <w:szCs w:val="22"/>
              </w:rPr>
            </w:pPr>
            <w:r w:rsidRPr="009E0AE0">
              <w:rPr>
                <w:rFonts w:ascii="Calibri" w:hAnsi="Calibri" w:cs="Arial"/>
                <w:sz w:val="22"/>
                <w:szCs w:val="22"/>
              </w:rPr>
              <w:t xml:space="preserve">Exchange of knowledge and learning on GRB facilitates replication of good practices and lessons learned. </w:t>
            </w:r>
          </w:p>
          <w:p w:rsidR="00DE67CA" w:rsidRPr="009E0AE0" w:rsidRDefault="00DE67CA" w:rsidP="00DE67CA">
            <w:pPr>
              <w:jc w:val="both"/>
              <w:rPr>
                <w:rFonts w:ascii="Calibri" w:hAnsi="Calibri" w:cs="Arial"/>
                <w:sz w:val="22"/>
                <w:szCs w:val="22"/>
              </w:rPr>
            </w:pPr>
          </w:p>
          <w:p w:rsidR="00DE67CA" w:rsidRPr="009E0AE0" w:rsidRDefault="00DE67CA" w:rsidP="00DE67CA">
            <w:pPr>
              <w:jc w:val="both"/>
              <w:rPr>
                <w:rFonts w:ascii="Calibri" w:hAnsi="Calibri" w:cs="Arial"/>
                <w:sz w:val="22"/>
                <w:szCs w:val="22"/>
              </w:rPr>
            </w:pPr>
            <w:r w:rsidRPr="009E0AE0">
              <w:rPr>
                <w:rFonts w:ascii="Calibri" w:hAnsi="Calibri" w:cs="Arial"/>
                <w:sz w:val="22"/>
                <w:szCs w:val="22"/>
              </w:rPr>
              <w:t xml:space="preserve">The </w:t>
            </w:r>
            <w:r w:rsidR="00DD1F03">
              <w:rPr>
                <w:rFonts w:ascii="Calibri" w:hAnsi="Calibri" w:cs="Arial"/>
                <w:sz w:val="22"/>
                <w:szCs w:val="22"/>
              </w:rPr>
              <w:t>p</w:t>
            </w:r>
            <w:r w:rsidR="00002056">
              <w:rPr>
                <w:rFonts w:ascii="Calibri" w:hAnsi="Calibri" w:cs="Arial"/>
                <w:sz w:val="22"/>
                <w:szCs w:val="22"/>
              </w:rPr>
              <w:t>roject</w:t>
            </w:r>
            <w:r w:rsidRPr="009E0AE0">
              <w:rPr>
                <w:rFonts w:ascii="Calibri" w:hAnsi="Calibri" w:cs="Arial"/>
                <w:sz w:val="22"/>
                <w:szCs w:val="22"/>
              </w:rPr>
              <w:t xml:space="preserve"> focus is on strengthening the capacities of </w:t>
            </w:r>
            <w:r w:rsidRPr="009E0AE0">
              <w:rPr>
                <w:rFonts w:ascii="Calibri" w:hAnsi="Calibri" w:cs="Arial"/>
                <w:b/>
                <w:sz w:val="22"/>
                <w:szCs w:val="22"/>
              </w:rPr>
              <w:t>state, entity and local governments to integrate GRB in policy planning and budgeting</w:t>
            </w:r>
            <w:r w:rsidRPr="009E0AE0">
              <w:rPr>
                <w:rFonts w:ascii="Calibri" w:hAnsi="Calibri" w:cs="Arial"/>
                <w:sz w:val="22"/>
                <w:szCs w:val="22"/>
              </w:rPr>
              <w:t xml:space="preserve">; and of non-governmental actors to </w:t>
            </w:r>
            <w:r w:rsidRPr="009E0AE0">
              <w:rPr>
                <w:rFonts w:ascii="Calibri" w:hAnsi="Calibri" w:cs="Arial"/>
                <w:b/>
                <w:sz w:val="22"/>
                <w:szCs w:val="22"/>
              </w:rPr>
              <w:t>hold governments accountable</w:t>
            </w:r>
            <w:r w:rsidRPr="009E0AE0">
              <w:rPr>
                <w:rFonts w:ascii="Calibri" w:hAnsi="Calibri" w:cs="Arial"/>
                <w:sz w:val="22"/>
                <w:szCs w:val="22"/>
              </w:rPr>
              <w:t xml:space="preserve"> to </w:t>
            </w:r>
            <w:r w:rsidRPr="009E0AE0">
              <w:rPr>
                <w:rFonts w:ascii="Calibri" w:hAnsi="Calibri" w:cs="Arial"/>
                <w:b/>
                <w:sz w:val="22"/>
                <w:szCs w:val="22"/>
              </w:rPr>
              <w:t>gender equality commitments</w:t>
            </w:r>
            <w:r w:rsidRPr="009E0AE0">
              <w:rPr>
                <w:rFonts w:ascii="Calibri" w:hAnsi="Calibri" w:cs="Arial"/>
                <w:sz w:val="22"/>
                <w:szCs w:val="22"/>
              </w:rPr>
              <w:t xml:space="preserve"> using GRB as a tool.</w:t>
            </w:r>
          </w:p>
          <w:p w:rsidR="002C1B6D" w:rsidRPr="009E0AE0" w:rsidRDefault="002C1B6D" w:rsidP="002C1B6D">
            <w:pPr>
              <w:autoSpaceDE w:val="0"/>
              <w:autoSpaceDN w:val="0"/>
              <w:adjustRightInd w:val="0"/>
              <w:jc w:val="both"/>
              <w:rPr>
                <w:rFonts w:ascii="Calibri" w:hAnsi="Calibri" w:cs="Calibri"/>
                <w:sz w:val="22"/>
                <w:szCs w:val="22"/>
              </w:rPr>
            </w:pPr>
          </w:p>
          <w:p w:rsidR="002C1B6D" w:rsidRPr="009E0AE0" w:rsidRDefault="005471F5" w:rsidP="002C1B6D">
            <w:pPr>
              <w:autoSpaceDE w:val="0"/>
              <w:autoSpaceDN w:val="0"/>
              <w:adjustRightInd w:val="0"/>
              <w:jc w:val="both"/>
              <w:rPr>
                <w:rFonts w:ascii="Calibri" w:hAnsi="Calibri" w:cs="Calibri"/>
                <w:b/>
                <w:bCs/>
                <w:color w:val="0066CC"/>
                <w:sz w:val="22"/>
                <w:szCs w:val="22"/>
              </w:rPr>
            </w:pPr>
            <w:r>
              <w:rPr>
                <w:rFonts w:ascii="Calibri" w:hAnsi="Calibri" w:cs="Calibri"/>
                <w:b/>
                <w:bCs/>
                <w:color w:val="0066CC"/>
                <w:sz w:val="22"/>
                <w:szCs w:val="22"/>
              </w:rPr>
              <w:t xml:space="preserve">Planned </w:t>
            </w:r>
            <w:r w:rsidR="0008793E" w:rsidRPr="009E0AE0">
              <w:rPr>
                <w:rFonts w:ascii="Calibri" w:hAnsi="Calibri" w:cs="Calibri"/>
                <w:b/>
                <w:bCs/>
                <w:color w:val="0066CC"/>
                <w:sz w:val="22"/>
                <w:szCs w:val="22"/>
              </w:rPr>
              <w:t>Activities</w:t>
            </w:r>
            <w:r>
              <w:rPr>
                <w:rFonts w:ascii="Calibri" w:hAnsi="Calibri" w:cs="Calibri"/>
                <w:b/>
                <w:bCs/>
                <w:color w:val="0066CC"/>
                <w:sz w:val="22"/>
                <w:szCs w:val="22"/>
              </w:rPr>
              <w:t>:</w:t>
            </w:r>
          </w:p>
          <w:p w:rsidR="00351E11" w:rsidRPr="009E0AE0" w:rsidRDefault="00351E11" w:rsidP="00351E11">
            <w:pPr>
              <w:pStyle w:val="ListParagraph"/>
              <w:numPr>
                <w:ilvl w:val="0"/>
                <w:numId w:val="6"/>
              </w:numPr>
              <w:spacing w:after="120"/>
              <w:contextualSpacing/>
              <w:jc w:val="both"/>
              <w:rPr>
                <w:rFonts w:ascii="Calibri" w:hAnsi="Calibri" w:cs="Arial"/>
                <w:sz w:val="22"/>
                <w:szCs w:val="22"/>
              </w:rPr>
            </w:pPr>
            <w:r w:rsidRPr="009E0AE0">
              <w:rPr>
                <w:rFonts w:ascii="Calibri" w:hAnsi="Calibri" w:cs="Arial"/>
                <w:sz w:val="22"/>
                <w:szCs w:val="22"/>
              </w:rPr>
              <w:t xml:space="preserve">Building capacities of local and national governments through training, technical assistance, developing tools to include gender responsive approach in planning and budgeting and citizen’s participation; </w:t>
            </w:r>
          </w:p>
          <w:p w:rsidR="00351E11" w:rsidRPr="009E0AE0" w:rsidRDefault="00351E11" w:rsidP="00351E11">
            <w:pPr>
              <w:pStyle w:val="ListParagraph"/>
              <w:numPr>
                <w:ilvl w:val="0"/>
                <w:numId w:val="6"/>
              </w:numPr>
              <w:spacing w:after="120"/>
              <w:contextualSpacing/>
              <w:jc w:val="both"/>
              <w:rPr>
                <w:rFonts w:ascii="Calibri" w:hAnsi="Calibri" w:cs="Arial"/>
                <w:sz w:val="22"/>
                <w:szCs w:val="22"/>
              </w:rPr>
            </w:pPr>
            <w:r w:rsidRPr="009E0AE0">
              <w:rPr>
                <w:rFonts w:ascii="Calibri" w:hAnsi="Calibri" w:cs="Arial"/>
                <w:sz w:val="22"/>
                <w:szCs w:val="22"/>
              </w:rPr>
              <w:t xml:space="preserve">Advocating for selected programmes (rural development, social protection and employment) and plans to include specific proposals and budgets for gender equity; </w:t>
            </w:r>
          </w:p>
          <w:p w:rsidR="00351E11" w:rsidRPr="009E0AE0" w:rsidRDefault="00351E11" w:rsidP="00351E11">
            <w:pPr>
              <w:pStyle w:val="ListParagraph"/>
              <w:numPr>
                <w:ilvl w:val="0"/>
                <w:numId w:val="6"/>
              </w:numPr>
              <w:spacing w:after="120"/>
              <w:contextualSpacing/>
              <w:jc w:val="both"/>
              <w:rPr>
                <w:rFonts w:ascii="Calibri" w:hAnsi="Calibri" w:cs="Arial"/>
                <w:sz w:val="22"/>
                <w:szCs w:val="22"/>
              </w:rPr>
            </w:pPr>
            <w:r w:rsidRPr="009E0AE0">
              <w:rPr>
                <w:rFonts w:ascii="Calibri" w:hAnsi="Calibri" w:cs="Arial"/>
                <w:sz w:val="22"/>
                <w:szCs w:val="22"/>
              </w:rPr>
              <w:t xml:space="preserve">Initiating changes in the budget documents, guidelines and templates to reflect GRB and support within governments with the capacity to continue the work to promote institutionalization and sustainability; </w:t>
            </w:r>
          </w:p>
          <w:p w:rsidR="00351E11" w:rsidRPr="009E0AE0" w:rsidRDefault="00351E11" w:rsidP="00351E11">
            <w:pPr>
              <w:pStyle w:val="ListParagraph"/>
              <w:numPr>
                <w:ilvl w:val="0"/>
                <w:numId w:val="6"/>
              </w:numPr>
              <w:spacing w:after="120"/>
              <w:contextualSpacing/>
              <w:jc w:val="both"/>
              <w:rPr>
                <w:rFonts w:ascii="Calibri" w:hAnsi="Calibri" w:cs="Arial"/>
                <w:sz w:val="22"/>
                <w:szCs w:val="22"/>
              </w:rPr>
            </w:pPr>
            <w:r w:rsidRPr="009E0AE0">
              <w:rPr>
                <w:rFonts w:ascii="Calibri" w:hAnsi="Calibri" w:cs="Arial"/>
                <w:sz w:val="22"/>
                <w:szCs w:val="22"/>
              </w:rPr>
              <w:t xml:space="preserve">Building the capacity of CSO to monitor, analyze, program, formulate proposals and defend them through dialogue and advocacy with government institutions; </w:t>
            </w:r>
          </w:p>
          <w:p w:rsidR="00351E11" w:rsidRPr="009E0AE0" w:rsidRDefault="00351E11" w:rsidP="00351E11">
            <w:pPr>
              <w:pStyle w:val="ListParagraph"/>
              <w:numPr>
                <w:ilvl w:val="0"/>
                <w:numId w:val="6"/>
              </w:numPr>
              <w:spacing w:after="120"/>
              <w:contextualSpacing/>
              <w:jc w:val="both"/>
              <w:rPr>
                <w:rFonts w:ascii="Calibri" w:hAnsi="Calibri" w:cs="Arial"/>
                <w:sz w:val="22"/>
                <w:szCs w:val="22"/>
              </w:rPr>
            </w:pPr>
            <w:r w:rsidRPr="009E0AE0">
              <w:rPr>
                <w:rFonts w:ascii="Calibri" w:hAnsi="Calibri" w:cs="Arial"/>
                <w:sz w:val="22"/>
                <w:szCs w:val="22"/>
              </w:rPr>
              <w:t xml:space="preserve">Generating a critical mass of professionals in the field of gender responsive budgets and participation through alliances with academic institutions, GRB networks and organizations working in this field; </w:t>
            </w:r>
          </w:p>
          <w:p w:rsidR="00351E11" w:rsidRPr="009E0AE0" w:rsidRDefault="00351E11" w:rsidP="00351E11">
            <w:pPr>
              <w:pStyle w:val="ListParagraph"/>
              <w:numPr>
                <w:ilvl w:val="0"/>
                <w:numId w:val="6"/>
              </w:numPr>
              <w:spacing w:after="120"/>
              <w:contextualSpacing/>
              <w:jc w:val="both"/>
              <w:rPr>
                <w:rFonts w:ascii="Calibri" w:hAnsi="Calibri" w:cs="Arial"/>
                <w:sz w:val="22"/>
                <w:szCs w:val="22"/>
              </w:rPr>
            </w:pPr>
            <w:r w:rsidRPr="009E0AE0">
              <w:rPr>
                <w:rFonts w:ascii="Calibri" w:hAnsi="Calibri" w:cs="Arial"/>
                <w:sz w:val="22"/>
                <w:szCs w:val="22"/>
              </w:rPr>
              <w:t xml:space="preserve">Supporting academic research and discussions on gender and economics issues and promote efforts to integrate them into national, regional and global economic policy debates. </w:t>
            </w:r>
          </w:p>
          <w:p w:rsidR="002C1B6D" w:rsidRPr="0008793E" w:rsidRDefault="002C1B6D" w:rsidP="00351E11">
            <w:pPr>
              <w:pStyle w:val="ListParagraph"/>
              <w:spacing w:after="120"/>
              <w:ind w:left="360"/>
              <w:contextualSpacing/>
              <w:jc w:val="both"/>
              <w:rPr>
                <w:rFonts w:ascii="Calibri" w:hAnsi="Calibri"/>
                <w:b/>
                <w:color w:val="000000"/>
                <w:sz w:val="22"/>
                <w:szCs w:val="22"/>
                <w:lang w:val="en-GB"/>
              </w:rPr>
            </w:pPr>
          </w:p>
        </w:tc>
        <w:tc>
          <w:tcPr>
            <w:tcW w:w="3475" w:type="dxa"/>
          </w:tcPr>
          <w:p w:rsidR="002C1B6D" w:rsidRPr="0068325F" w:rsidRDefault="002C1B6D" w:rsidP="002C1B6D">
            <w:pPr>
              <w:jc w:val="right"/>
              <w:rPr>
                <w:rFonts w:ascii="Calibri" w:hAnsi="Calibri" w:cs="Calibri"/>
                <w:b/>
                <w:color w:val="000000"/>
                <w:sz w:val="20"/>
                <w:szCs w:val="20"/>
              </w:rPr>
            </w:pPr>
            <w:r w:rsidRPr="0068325F">
              <w:rPr>
                <w:rFonts w:ascii="Calibri" w:hAnsi="Calibri" w:cs="Calibri"/>
                <w:color w:val="000000"/>
                <w:sz w:val="20"/>
                <w:szCs w:val="20"/>
                <w:lang w:val="sk-SK"/>
              </w:rPr>
              <w:lastRenderedPageBreak/>
              <w:t xml:space="preserve">           </w:t>
            </w:r>
            <w:r w:rsidR="007E5CA7">
              <w:rPr>
                <w:rFonts w:eastAsia="Times"/>
                <w:i/>
                <w:noProof/>
                <w:color w:val="3366FF"/>
                <w:sz w:val="18"/>
                <w:szCs w:val="18"/>
              </w:rPr>
              <w:drawing>
                <wp:inline distT="0" distB="0" distL="0" distR="0">
                  <wp:extent cx="1604645" cy="914400"/>
                  <wp:effectExtent l="19050" t="0" r="0" b="0"/>
                  <wp:docPr id="1" name="Picture 1" descr="UN_Women_English_Blue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_Women_English_Blue_CMYK.png"/>
                          <pic:cNvPicPr>
                            <a:picLocks noChangeAspect="1" noChangeArrowheads="1"/>
                          </pic:cNvPicPr>
                        </pic:nvPicPr>
                        <pic:blipFill>
                          <a:blip r:embed="rId7" cstate="print"/>
                          <a:srcRect/>
                          <a:stretch>
                            <a:fillRect/>
                          </a:stretch>
                        </pic:blipFill>
                        <pic:spPr bwMode="auto">
                          <a:xfrm>
                            <a:off x="0" y="0"/>
                            <a:ext cx="1604645" cy="914400"/>
                          </a:xfrm>
                          <a:prstGeom prst="rect">
                            <a:avLst/>
                          </a:prstGeom>
                          <a:noFill/>
                          <a:ln w="9525">
                            <a:noFill/>
                            <a:miter lim="800000"/>
                            <a:headEnd/>
                            <a:tailEnd/>
                          </a:ln>
                        </pic:spPr>
                      </pic:pic>
                    </a:graphicData>
                  </a:graphic>
                </wp:inline>
              </w:drawing>
            </w:r>
            <w:r w:rsidRPr="0068325F">
              <w:rPr>
                <w:rFonts w:ascii="Calibri" w:hAnsi="Calibri" w:cs="Calibri"/>
                <w:color w:val="000000"/>
                <w:sz w:val="20"/>
                <w:szCs w:val="20"/>
                <w:lang w:val="sk-SK"/>
              </w:rPr>
              <w:t xml:space="preserve">         </w:t>
            </w:r>
          </w:p>
          <w:p w:rsidR="002C1B6D" w:rsidRPr="0068325F" w:rsidRDefault="002C1B6D" w:rsidP="002C1B6D">
            <w:pPr>
              <w:jc w:val="both"/>
              <w:rPr>
                <w:rFonts w:ascii="Calibri" w:hAnsi="Calibri" w:cs="Calibri"/>
                <w:b/>
                <w:color w:val="000000"/>
                <w:sz w:val="20"/>
                <w:szCs w:val="20"/>
              </w:rPr>
            </w:pPr>
          </w:p>
          <w:p w:rsidR="002C1B6D" w:rsidRPr="0068325F" w:rsidRDefault="002C1B6D" w:rsidP="002C1B6D">
            <w:pPr>
              <w:autoSpaceDE w:val="0"/>
              <w:autoSpaceDN w:val="0"/>
              <w:adjustRightInd w:val="0"/>
              <w:jc w:val="both"/>
              <w:rPr>
                <w:rFonts w:ascii="Calibri" w:hAnsi="Calibri" w:cs="Calibri"/>
                <w:sz w:val="20"/>
                <w:szCs w:val="20"/>
              </w:rPr>
            </w:pPr>
          </w:p>
        </w:tc>
      </w:tr>
      <w:tr w:rsidR="002C1B6D" w:rsidRPr="00AF1C6B" w:rsidTr="0008793E">
        <w:trPr>
          <w:trHeight w:val="19"/>
          <w:jc w:val="center"/>
        </w:trPr>
        <w:tc>
          <w:tcPr>
            <w:tcW w:w="7435" w:type="dxa"/>
            <w:vMerge/>
          </w:tcPr>
          <w:p w:rsidR="002C1B6D" w:rsidRPr="00AF1C6B" w:rsidRDefault="002C1B6D" w:rsidP="002C1B6D">
            <w:pPr>
              <w:rPr>
                <w:rFonts w:ascii="Myriad Pro" w:hAnsi="Myriad Pro"/>
                <w:i/>
                <w:sz w:val="20"/>
                <w:szCs w:val="20"/>
              </w:rPr>
            </w:pPr>
          </w:p>
        </w:tc>
        <w:tc>
          <w:tcPr>
            <w:tcW w:w="3475" w:type="dxa"/>
          </w:tcPr>
          <w:p w:rsidR="002C1B6D" w:rsidRPr="00771D76" w:rsidRDefault="002C1B6D" w:rsidP="002C1B6D">
            <w:pPr>
              <w:jc w:val="both"/>
              <w:rPr>
                <w:rFonts w:ascii="Calibri" w:hAnsi="Calibri" w:cs="Calibri"/>
                <w:b/>
                <w:i/>
                <w:color w:val="0070C0"/>
                <w:sz w:val="20"/>
                <w:szCs w:val="20"/>
              </w:rPr>
            </w:pPr>
            <w:r w:rsidRPr="00771D76">
              <w:rPr>
                <w:rFonts w:ascii="Calibri" w:hAnsi="Calibri" w:cs="Calibri"/>
                <w:b/>
                <w:i/>
                <w:color w:val="0070C0"/>
                <w:sz w:val="20"/>
                <w:szCs w:val="20"/>
              </w:rPr>
              <w:t>Title</w:t>
            </w:r>
          </w:p>
          <w:p w:rsidR="002C1B6D" w:rsidRPr="003E385B" w:rsidRDefault="003E385B" w:rsidP="002C1B6D">
            <w:pPr>
              <w:jc w:val="both"/>
              <w:rPr>
                <w:rFonts w:asciiTheme="minorHAnsi" w:hAnsiTheme="minorHAnsi" w:cs="Calibri"/>
                <w:b/>
                <w:i/>
                <w:color w:val="0066CC"/>
                <w:sz w:val="20"/>
                <w:szCs w:val="20"/>
              </w:rPr>
            </w:pPr>
            <w:r w:rsidRPr="003E385B">
              <w:rPr>
                <w:rFonts w:asciiTheme="minorHAnsi" w:hAnsiTheme="minorHAnsi"/>
                <w:b/>
                <w:sz w:val="20"/>
                <w:szCs w:val="20"/>
              </w:rPr>
              <w:t>“</w:t>
            </w:r>
            <w:r w:rsidRPr="003E385B">
              <w:rPr>
                <w:rFonts w:asciiTheme="minorHAnsi" w:hAnsiTheme="minorHAnsi"/>
                <w:i/>
                <w:sz w:val="20"/>
                <w:szCs w:val="20"/>
              </w:rPr>
              <w:t>Promoting Gender Responsive Policies in South East Europe – Phase II</w:t>
            </w:r>
            <w:r>
              <w:rPr>
                <w:rFonts w:asciiTheme="minorHAnsi" w:hAnsiTheme="minorHAnsi"/>
                <w:i/>
                <w:sz w:val="20"/>
                <w:szCs w:val="20"/>
              </w:rPr>
              <w:t>”</w:t>
            </w:r>
            <w:r w:rsidRPr="003E385B">
              <w:rPr>
                <w:rFonts w:asciiTheme="minorHAnsi" w:hAnsiTheme="minorHAnsi" w:cs="Calibri"/>
                <w:b/>
                <w:i/>
                <w:color w:val="0066CC"/>
                <w:sz w:val="20"/>
                <w:szCs w:val="20"/>
              </w:rPr>
              <w:t xml:space="preserve"> </w:t>
            </w:r>
          </w:p>
          <w:p w:rsidR="003E385B" w:rsidRPr="00771D76" w:rsidRDefault="003E385B" w:rsidP="002C1B6D">
            <w:pPr>
              <w:jc w:val="both"/>
              <w:rPr>
                <w:rFonts w:ascii="Calibri" w:hAnsi="Calibri" w:cs="Calibri"/>
                <w:b/>
                <w:i/>
                <w:color w:val="0066CC"/>
                <w:sz w:val="16"/>
                <w:szCs w:val="16"/>
              </w:rPr>
            </w:pPr>
          </w:p>
          <w:p w:rsidR="002C1B6D" w:rsidRPr="00771D76" w:rsidRDefault="002C1B6D" w:rsidP="002C1B6D">
            <w:pPr>
              <w:jc w:val="both"/>
              <w:rPr>
                <w:rFonts w:ascii="Calibri" w:hAnsi="Calibri" w:cs="Calibri"/>
                <w:b/>
                <w:i/>
                <w:color w:val="0070C0"/>
                <w:sz w:val="20"/>
                <w:szCs w:val="20"/>
              </w:rPr>
            </w:pPr>
            <w:r w:rsidRPr="00771D76">
              <w:rPr>
                <w:rFonts w:ascii="Calibri" w:hAnsi="Calibri" w:cs="Calibri"/>
                <w:b/>
                <w:i/>
                <w:color w:val="0070C0"/>
                <w:sz w:val="20"/>
                <w:szCs w:val="20"/>
              </w:rPr>
              <w:t>Budget</w:t>
            </w:r>
          </w:p>
          <w:p w:rsidR="002C1B6D" w:rsidRDefault="002C1B6D" w:rsidP="007E22C4">
            <w:pPr>
              <w:rPr>
                <w:rFonts w:ascii="Calibri" w:hAnsi="Calibri"/>
                <w:i/>
                <w:sz w:val="20"/>
                <w:szCs w:val="20"/>
              </w:rPr>
            </w:pPr>
            <w:r w:rsidRPr="006F0255">
              <w:rPr>
                <w:rFonts w:ascii="Calibri" w:hAnsi="Calibri" w:cs="Calibri"/>
                <w:i/>
                <w:color w:val="000000"/>
                <w:sz w:val="20"/>
                <w:szCs w:val="20"/>
              </w:rPr>
              <w:t>Total</w:t>
            </w:r>
            <w:r w:rsidR="007E22C4">
              <w:rPr>
                <w:rFonts w:ascii="Calibri" w:hAnsi="Calibri" w:cs="Calibri"/>
                <w:i/>
                <w:color w:val="000000"/>
                <w:sz w:val="20"/>
                <w:szCs w:val="20"/>
              </w:rPr>
              <w:t xml:space="preserve"> </w:t>
            </w:r>
            <w:r w:rsidR="006F0255">
              <w:rPr>
                <w:rFonts w:ascii="Calibri" w:hAnsi="Calibri" w:cs="Calibri"/>
                <w:i/>
                <w:color w:val="000000"/>
                <w:sz w:val="20"/>
                <w:szCs w:val="20"/>
              </w:rPr>
              <w:t>Regional</w:t>
            </w:r>
            <w:r w:rsidRPr="006F0255">
              <w:rPr>
                <w:rFonts w:ascii="Calibri" w:hAnsi="Calibri" w:cs="Calibri"/>
                <w:i/>
                <w:color w:val="000000"/>
                <w:sz w:val="20"/>
                <w:szCs w:val="20"/>
              </w:rPr>
              <w:t>:</w:t>
            </w:r>
            <w:r w:rsidR="006F0255">
              <w:rPr>
                <w:rFonts w:ascii="Calibri" w:hAnsi="Calibri"/>
                <w:i/>
                <w:sz w:val="20"/>
                <w:szCs w:val="20"/>
              </w:rPr>
              <w:t xml:space="preserve">   </w:t>
            </w:r>
            <w:r w:rsidR="006F0255" w:rsidRPr="006F0255">
              <w:rPr>
                <w:rFonts w:ascii="Calibri" w:hAnsi="Calibri"/>
                <w:i/>
                <w:sz w:val="20"/>
                <w:szCs w:val="20"/>
              </w:rPr>
              <w:t>2,858,184 USD</w:t>
            </w:r>
          </w:p>
          <w:p w:rsidR="006F0255" w:rsidRDefault="006F0255" w:rsidP="002C1B6D">
            <w:pPr>
              <w:jc w:val="both"/>
              <w:rPr>
                <w:rFonts w:ascii="Calibri" w:hAnsi="Calibri"/>
                <w:i/>
                <w:sz w:val="20"/>
                <w:szCs w:val="20"/>
              </w:rPr>
            </w:pPr>
          </w:p>
          <w:p w:rsidR="006F0255" w:rsidRDefault="006F0255" w:rsidP="007E22C4">
            <w:pPr>
              <w:rPr>
                <w:rFonts w:ascii="Calibri" w:hAnsi="Calibri"/>
                <w:b/>
                <w:i/>
                <w:sz w:val="20"/>
                <w:szCs w:val="20"/>
              </w:rPr>
            </w:pPr>
            <w:r w:rsidRPr="00351E11">
              <w:rPr>
                <w:rFonts w:ascii="Calibri" w:hAnsi="Calibri"/>
                <w:b/>
                <w:i/>
                <w:sz w:val="20"/>
                <w:szCs w:val="20"/>
              </w:rPr>
              <w:t xml:space="preserve">Total:  </w:t>
            </w:r>
            <w:r w:rsidR="008978F8">
              <w:rPr>
                <w:rFonts w:ascii="Calibri" w:hAnsi="Calibri"/>
                <w:b/>
                <w:i/>
                <w:sz w:val="20"/>
                <w:szCs w:val="20"/>
              </w:rPr>
              <w:t xml:space="preserve"> </w:t>
            </w:r>
            <w:r w:rsidRPr="00351E11">
              <w:rPr>
                <w:rFonts w:ascii="Calibri" w:hAnsi="Calibri"/>
                <w:b/>
                <w:i/>
                <w:sz w:val="20"/>
                <w:szCs w:val="20"/>
              </w:rPr>
              <w:t xml:space="preserve">   </w:t>
            </w:r>
            <w:r w:rsidR="0085313B">
              <w:rPr>
                <w:rFonts w:ascii="Calibri" w:hAnsi="Calibri"/>
                <w:b/>
                <w:i/>
                <w:sz w:val="20"/>
                <w:szCs w:val="20"/>
              </w:rPr>
              <w:t xml:space="preserve">                418</w:t>
            </w:r>
            <w:r w:rsidRPr="00351E11">
              <w:rPr>
                <w:rFonts w:ascii="Calibri" w:hAnsi="Calibri"/>
                <w:b/>
                <w:i/>
                <w:sz w:val="20"/>
                <w:szCs w:val="20"/>
              </w:rPr>
              <w:t>,</w:t>
            </w:r>
            <w:r w:rsidR="0085313B">
              <w:rPr>
                <w:rFonts w:ascii="Calibri" w:hAnsi="Calibri"/>
                <w:b/>
                <w:i/>
                <w:sz w:val="20"/>
                <w:szCs w:val="20"/>
              </w:rPr>
              <w:t>185</w:t>
            </w:r>
            <w:r w:rsidRPr="00351E11">
              <w:rPr>
                <w:rFonts w:ascii="Calibri" w:hAnsi="Calibri"/>
                <w:b/>
                <w:i/>
                <w:sz w:val="20"/>
                <w:szCs w:val="20"/>
              </w:rPr>
              <w:t xml:space="preserve"> USD</w:t>
            </w:r>
          </w:p>
          <w:p w:rsidR="007E22C4" w:rsidRPr="00351E11" w:rsidRDefault="007E22C4" w:rsidP="007E22C4">
            <w:pPr>
              <w:rPr>
                <w:rFonts w:ascii="Calibri" w:hAnsi="Calibri"/>
                <w:b/>
                <w:i/>
                <w:color w:val="000000"/>
                <w:sz w:val="20"/>
                <w:szCs w:val="20"/>
              </w:rPr>
            </w:pPr>
            <w:r w:rsidRPr="00351E11">
              <w:rPr>
                <w:rFonts w:ascii="Calibri" w:hAnsi="Calibri"/>
                <w:b/>
                <w:i/>
                <w:sz w:val="20"/>
                <w:szCs w:val="20"/>
              </w:rPr>
              <w:t>(B</w:t>
            </w:r>
            <w:r>
              <w:rPr>
                <w:rFonts w:ascii="Calibri" w:hAnsi="Calibri"/>
                <w:b/>
                <w:i/>
                <w:sz w:val="20"/>
                <w:szCs w:val="20"/>
              </w:rPr>
              <w:t>osnia and Herzegovina</w:t>
            </w:r>
            <w:r w:rsidRPr="00351E11">
              <w:rPr>
                <w:rFonts w:ascii="Calibri" w:hAnsi="Calibri"/>
                <w:b/>
                <w:i/>
                <w:sz w:val="20"/>
                <w:szCs w:val="20"/>
              </w:rPr>
              <w:t>)</w:t>
            </w:r>
          </w:p>
          <w:p w:rsidR="002C1B6D" w:rsidRPr="00771D76" w:rsidDel="004A5F25" w:rsidRDefault="002C1B6D" w:rsidP="002C1B6D">
            <w:pPr>
              <w:autoSpaceDE w:val="0"/>
              <w:autoSpaceDN w:val="0"/>
              <w:adjustRightInd w:val="0"/>
              <w:jc w:val="both"/>
              <w:rPr>
                <w:rFonts w:ascii="Calibri" w:hAnsi="Calibri" w:cs="Calibri"/>
                <w:i/>
                <w:sz w:val="16"/>
                <w:szCs w:val="16"/>
              </w:rPr>
            </w:pPr>
          </w:p>
        </w:tc>
      </w:tr>
      <w:tr w:rsidR="002C1B6D" w:rsidRPr="00A9261E" w:rsidTr="0008793E">
        <w:trPr>
          <w:trHeight w:val="282"/>
          <w:jc w:val="center"/>
        </w:trPr>
        <w:tc>
          <w:tcPr>
            <w:tcW w:w="7435" w:type="dxa"/>
            <w:vMerge/>
          </w:tcPr>
          <w:p w:rsidR="002C1B6D" w:rsidRPr="00AF1C6B" w:rsidRDefault="002C1B6D" w:rsidP="002C1B6D">
            <w:pPr>
              <w:rPr>
                <w:rFonts w:ascii="Myriad Pro" w:hAnsi="Myriad Pro"/>
                <w:i/>
                <w:sz w:val="20"/>
                <w:szCs w:val="20"/>
              </w:rPr>
            </w:pPr>
          </w:p>
        </w:tc>
        <w:tc>
          <w:tcPr>
            <w:tcW w:w="3475" w:type="dxa"/>
          </w:tcPr>
          <w:p w:rsidR="002C1B6D" w:rsidRPr="00771D76" w:rsidRDefault="002C1B6D" w:rsidP="002C1B6D">
            <w:pPr>
              <w:jc w:val="both"/>
              <w:rPr>
                <w:rFonts w:ascii="Calibri" w:hAnsi="Calibri" w:cs="Calibri"/>
                <w:b/>
                <w:i/>
                <w:color w:val="0070C0"/>
                <w:sz w:val="20"/>
                <w:szCs w:val="20"/>
              </w:rPr>
            </w:pPr>
            <w:r w:rsidRPr="00771D76">
              <w:rPr>
                <w:rFonts w:ascii="Calibri" w:hAnsi="Calibri" w:cs="Calibri"/>
                <w:b/>
                <w:i/>
                <w:color w:val="0070C0"/>
                <w:sz w:val="20"/>
                <w:szCs w:val="20"/>
              </w:rPr>
              <w:t>Duration</w:t>
            </w:r>
          </w:p>
          <w:p w:rsidR="002C1B6D" w:rsidRPr="00771D76" w:rsidRDefault="002C1B6D" w:rsidP="002C1B6D">
            <w:pPr>
              <w:jc w:val="both"/>
              <w:rPr>
                <w:rFonts w:ascii="Calibri" w:hAnsi="Calibri" w:cs="Calibri"/>
                <w:i/>
                <w:color w:val="000000"/>
                <w:sz w:val="20"/>
                <w:szCs w:val="20"/>
              </w:rPr>
            </w:pPr>
            <w:r w:rsidRPr="00771D76">
              <w:rPr>
                <w:rFonts w:ascii="Calibri" w:hAnsi="Calibri" w:cs="Calibri"/>
                <w:i/>
                <w:color w:val="000000"/>
                <w:sz w:val="20"/>
                <w:szCs w:val="20"/>
              </w:rPr>
              <w:t>3 years (</w:t>
            </w:r>
            <w:r w:rsidR="006F0255">
              <w:rPr>
                <w:rFonts w:ascii="Calibri" w:hAnsi="Calibri" w:cs="Calibri"/>
                <w:i/>
                <w:color w:val="000000"/>
                <w:sz w:val="20"/>
                <w:szCs w:val="20"/>
              </w:rPr>
              <w:t xml:space="preserve">Feb </w:t>
            </w:r>
            <w:r w:rsidRPr="00771D76">
              <w:rPr>
                <w:rFonts w:ascii="Calibri" w:hAnsi="Calibri" w:cs="Calibri"/>
                <w:i/>
                <w:color w:val="000000"/>
                <w:sz w:val="20"/>
                <w:szCs w:val="20"/>
              </w:rPr>
              <w:t xml:space="preserve">2014 – </w:t>
            </w:r>
            <w:r w:rsidR="006F0255">
              <w:rPr>
                <w:rFonts w:ascii="Calibri" w:hAnsi="Calibri" w:cs="Calibri"/>
                <w:i/>
                <w:color w:val="000000"/>
                <w:sz w:val="20"/>
                <w:szCs w:val="20"/>
              </w:rPr>
              <w:t xml:space="preserve">Feb </w:t>
            </w:r>
            <w:r w:rsidRPr="00771D76">
              <w:rPr>
                <w:rFonts w:ascii="Calibri" w:hAnsi="Calibri" w:cs="Calibri"/>
                <w:i/>
                <w:color w:val="000000"/>
                <w:sz w:val="20"/>
                <w:szCs w:val="20"/>
              </w:rPr>
              <w:t xml:space="preserve"> </w:t>
            </w:r>
            <w:r>
              <w:rPr>
                <w:rFonts w:ascii="Calibri" w:hAnsi="Calibri" w:cs="Calibri"/>
                <w:i/>
                <w:color w:val="000000"/>
                <w:sz w:val="20"/>
                <w:szCs w:val="20"/>
              </w:rPr>
              <w:t>201</w:t>
            </w:r>
            <w:r w:rsidR="003E385B">
              <w:rPr>
                <w:rFonts w:ascii="Calibri" w:hAnsi="Calibri" w:cs="Calibri"/>
                <w:i/>
                <w:color w:val="000000"/>
                <w:sz w:val="20"/>
                <w:szCs w:val="20"/>
              </w:rPr>
              <w:t>6</w:t>
            </w:r>
            <w:r w:rsidRPr="00771D76">
              <w:rPr>
                <w:rFonts w:ascii="Calibri" w:hAnsi="Calibri" w:cs="Calibri"/>
                <w:i/>
                <w:color w:val="000000"/>
                <w:sz w:val="20"/>
                <w:szCs w:val="20"/>
              </w:rPr>
              <w:t>)</w:t>
            </w:r>
          </w:p>
          <w:p w:rsidR="002C1B6D" w:rsidRPr="00771D76" w:rsidRDefault="002C1B6D" w:rsidP="002C1B6D">
            <w:pPr>
              <w:jc w:val="both"/>
              <w:rPr>
                <w:rFonts w:ascii="Calibri" w:hAnsi="Calibri" w:cs="Calibri"/>
                <w:b/>
                <w:i/>
                <w:color w:val="0066CC"/>
                <w:sz w:val="16"/>
                <w:szCs w:val="16"/>
              </w:rPr>
            </w:pPr>
          </w:p>
          <w:p w:rsidR="002C1B6D" w:rsidRPr="00771D76" w:rsidRDefault="002C1B6D" w:rsidP="002C1B6D">
            <w:pPr>
              <w:jc w:val="both"/>
              <w:rPr>
                <w:rFonts w:ascii="Calibri" w:hAnsi="Calibri" w:cs="Calibri"/>
                <w:b/>
                <w:i/>
                <w:color w:val="0070C0"/>
                <w:sz w:val="20"/>
                <w:szCs w:val="20"/>
              </w:rPr>
            </w:pPr>
            <w:r w:rsidRPr="00771D76">
              <w:rPr>
                <w:rFonts w:ascii="Calibri" w:hAnsi="Calibri" w:cs="Calibri"/>
                <w:b/>
                <w:i/>
                <w:color w:val="0070C0"/>
                <w:sz w:val="20"/>
                <w:szCs w:val="20"/>
              </w:rPr>
              <w:t>Executing Agen</w:t>
            </w:r>
            <w:r w:rsidR="000113ED">
              <w:rPr>
                <w:rFonts w:ascii="Calibri" w:hAnsi="Calibri" w:cs="Calibri"/>
                <w:b/>
                <w:i/>
                <w:color w:val="0070C0"/>
                <w:sz w:val="20"/>
                <w:szCs w:val="20"/>
              </w:rPr>
              <w:t>cy</w:t>
            </w:r>
          </w:p>
          <w:p w:rsidR="002C1B6D" w:rsidRPr="000113ED" w:rsidRDefault="002C1B6D" w:rsidP="002C1B6D">
            <w:pPr>
              <w:autoSpaceDE w:val="0"/>
              <w:autoSpaceDN w:val="0"/>
              <w:adjustRightInd w:val="0"/>
              <w:jc w:val="both"/>
              <w:rPr>
                <w:rFonts w:ascii="Calibri" w:hAnsi="Calibri" w:cs="Calibri"/>
                <w:b/>
                <w:i/>
                <w:color w:val="000000"/>
                <w:sz w:val="20"/>
                <w:szCs w:val="20"/>
              </w:rPr>
            </w:pPr>
            <w:r w:rsidRPr="000113ED">
              <w:rPr>
                <w:rFonts w:ascii="Calibri" w:hAnsi="Calibri" w:cs="Calibri"/>
                <w:b/>
                <w:i/>
                <w:color w:val="000000"/>
                <w:sz w:val="20"/>
                <w:szCs w:val="20"/>
              </w:rPr>
              <w:t>United Nations Entity for Gender Equality and Women’s Empowerment (UN Women)</w:t>
            </w:r>
          </w:p>
          <w:p w:rsidR="002C1B6D" w:rsidRPr="00771D76" w:rsidRDefault="002C1B6D" w:rsidP="002C1B6D">
            <w:pPr>
              <w:autoSpaceDE w:val="0"/>
              <w:autoSpaceDN w:val="0"/>
              <w:adjustRightInd w:val="0"/>
              <w:jc w:val="both"/>
              <w:rPr>
                <w:rFonts w:ascii="Calibri" w:hAnsi="Calibri" w:cs="Calibri"/>
                <w:i/>
                <w:color w:val="000000"/>
                <w:sz w:val="16"/>
                <w:szCs w:val="16"/>
              </w:rPr>
            </w:pPr>
          </w:p>
          <w:p w:rsidR="002C1B6D" w:rsidRPr="00771D76" w:rsidRDefault="002C1B6D" w:rsidP="002C1B6D">
            <w:pPr>
              <w:jc w:val="both"/>
              <w:rPr>
                <w:rFonts w:ascii="Calibri" w:hAnsi="Calibri" w:cs="Calibri"/>
                <w:b/>
                <w:i/>
                <w:color w:val="0070C0"/>
                <w:sz w:val="20"/>
                <w:szCs w:val="20"/>
              </w:rPr>
            </w:pPr>
            <w:r w:rsidRPr="00771D76">
              <w:rPr>
                <w:rFonts w:ascii="Calibri" w:hAnsi="Calibri" w:cs="Calibri"/>
                <w:b/>
                <w:i/>
                <w:color w:val="0070C0"/>
                <w:sz w:val="20"/>
                <w:szCs w:val="20"/>
              </w:rPr>
              <w:t>Partners</w:t>
            </w:r>
          </w:p>
          <w:p w:rsidR="009E0AE0" w:rsidRPr="009E0AE0" w:rsidRDefault="002C1B6D" w:rsidP="009E0AE0">
            <w:pPr>
              <w:tabs>
                <w:tab w:val="num" w:pos="709"/>
                <w:tab w:val="left" w:pos="2124"/>
                <w:tab w:val="left" w:pos="2832"/>
                <w:tab w:val="left" w:pos="3540"/>
                <w:tab w:val="left" w:pos="4248"/>
                <w:tab w:val="left" w:pos="4956"/>
                <w:tab w:val="left" w:pos="5664"/>
                <w:tab w:val="left" w:pos="6372"/>
                <w:tab w:val="left" w:pos="7080"/>
                <w:tab w:val="left" w:pos="7788"/>
                <w:tab w:val="left" w:pos="8496"/>
              </w:tabs>
              <w:spacing w:after="120"/>
              <w:jc w:val="both"/>
              <w:rPr>
                <w:rFonts w:ascii="Arial" w:hAnsi="Arial"/>
              </w:rPr>
            </w:pPr>
            <w:r w:rsidRPr="00771D76">
              <w:rPr>
                <w:rFonts w:ascii="Calibri" w:hAnsi="Calibri" w:cs="Arial"/>
                <w:i/>
                <w:color w:val="000000"/>
                <w:sz w:val="20"/>
                <w:szCs w:val="20"/>
              </w:rPr>
              <w:t xml:space="preserve">The </w:t>
            </w:r>
            <w:r w:rsidR="00DD1F03">
              <w:rPr>
                <w:rFonts w:ascii="Calibri" w:hAnsi="Calibri" w:cs="Arial"/>
                <w:i/>
                <w:color w:val="000000"/>
                <w:sz w:val="20"/>
                <w:szCs w:val="20"/>
              </w:rPr>
              <w:t>p</w:t>
            </w:r>
            <w:r w:rsidR="00002056">
              <w:rPr>
                <w:rFonts w:ascii="Calibri" w:hAnsi="Calibri" w:cs="Arial"/>
                <w:i/>
                <w:color w:val="000000"/>
                <w:sz w:val="20"/>
                <w:szCs w:val="20"/>
              </w:rPr>
              <w:t>roject</w:t>
            </w:r>
            <w:r w:rsidRPr="00771D76">
              <w:rPr>
                <w:rFonts w:ascii="Calibri" w:hAnsi="Calibri" w:cs="Arial"/>
                <w:i/>
                <w:color w:val="000000"/>
                <w:sz w:val="20"/>
                <w:szCs w:val="20"/>
              </w:rPr>
              <w:t xml:space="preserve"> will benefit </w:t>
            </w:r>
            <w:r w:rsidR="000113ED">
              <w:rPr>
                <w:rFonts w:ascii="Calibri" w:hAnsi="Calibri" w:cs="Arial"/>
                <w:i/>
                <w:color w:val="000000"/>
                <w:sz w:val="20"/>
                <w:szCs w:val="20"/>
              </w:rPr>
              <w:t>from the</w:t>
            </w:r>
            <w:r w:rsidRPr="00771D76">
              <w:rPr>
                <w:rFonts w:ascii="Calibri" w:hAnsi="Calibri" w:cs="Arial"/>
                <w:i/>
                <w:color w:val="000000"/>
                <w:sz w:val="20"/>
                <w:szCs w:val="20"/>
              </w:rPr>
              <w:t xml:space="preserve"> previously established governmental and civil society partnerships, including with </w:t>
            </w:r>
            <w:r>
              <w:rPr>
                <w:rFonts w:ascii="Calibri" w:hAnsi="Calibri" w:cs="Arial"/>
                <w:i/>
                <w:color w:val="000000"/>
                <w:sz w:val="20"/>
                <w:szCs w:val="20"/>
              </w:rPr>
              <w:t xml:space="preserve">gender </w:t>
            </w:r>
            <w:r w:rsidR="006B196D">
              <w:rPr>
                <w:rFonts w:ascii="Calibri" w:hAnsi="Calibri" w:cs="Arial"/>
                <w:i/>
                <w:color w:val="000000"/>
                <w:sz w:val="20"/>
                <w:szCs w:val="20"/>
              </w:rPr>
              <w:t>agency, gender centers,</w:t>
            </w:r>
            <w:r>
              <w:rPr>
                <w:rFonts w:ascii="Calibri" w:hAnsi="Calibri" w:cs="Arial"/>
                <w:i/>
                <w:color w:val="000000"/>
                <w:sz w:val="20"/>
                <w:szCs w:val="20"/>
              </w:rPr>
              <w:t xml:space="preserve"> ministries of </w:t>
            </w:r>
            <w:r w:rsidR="006B196D">
              <w:rPr>
                <w:rFonts w:ascii="Calibri" w:hAnsi="Calibri" w:cs="Arial"/>
                <w:i/>
                <w:color w:val="000000"/>
                <w:sz w:val="20"/>
                <w:szCs w:val="20"/>
              </w:rPr>
              <w:t>finance</w:t>
            </w:r>
            <w:r>
              <w:rPr>
                <w:rFonts w:ascii="Calibri" w:hAnsi="Calibri" w:cs="Arial"/>
                <w:i/>
                <w:color w:val="000000"/>
                <w:sz w:val="20"/>
                <w:szCs w:val="20"/>
              </w:rPr>
              <w:t>,</w:t>
            </w:r>
            <w:r w:rsidR="006B196D">
              <w:rPr>
                <w:rFonts w:ascii="Calibri" w:hAnsi="Calibri" w:cs="Arial"/>
                <w:i/>
                <w:color w:val="000000"/>
                <w:sz w:val="20"/>
                <w:szCs w:val="20"/>
              </w:rPr>
              <w:t xml:space="preserve"> ministries responsible for rural development, social protection and employment in both </w:t>
            </w:r>
            <w:r w:rsidR="004A13F2">
              <w:rPr>
                <w:rFonts w:ascii="Calibri" w:hAnsi="Calibri" w:cs="Arial"/>
                <w:i/>
                <w:color w:val="000000"/>
                <w:sz w:val="20"/>
                <w:szCs w:val="20"/>
              </w:rPr>
              <w:t>entities</w:t>
            </w:r>
            <w:r w:rsidR="006B196D">
              <w:rPr>
                <w:rFonts w:ascii="Calibri" w:hAnsi="Calibri" w:cs="Arial"/>
                <w:i/>
                <w:color w:val="000000"/>
                <w:sz w:val="20"/>
                <w:szCs w:val="20"/>
              </w:rPr>
              <w:t xml:space="preserve"> of Bosnia and Herzegovina. </w:t>
            </w:r>
            <w:r w:rsidR="00610D19">
              <w:rPr>
                <w:rFonts w:ascii="Calibri" w:hAnsi="Calibri" w:cs="Arial"/>
                <w:i/>
                <w:color w:val="000000"/>
                <w:sz w:val="20"/>
                <w:szCs w:val="20"/>
              </w:rPr>
              <w:t>In addition</w:t>
            </w:r>
            <w:r>
              <w:rPr>
                <w:rFonts w:ascii="Calibri" w:hAnsi="Calibri"/>
                <w:i/>
                <w:color w:val="000000"/>
                <w:sz w:val="20"/>
                <w:szCs w:val="20"/>
              </w:rPr>
              <w:t xml:space="preserve">, the </w:t>
            </w:r>
            <w:r w:rsidR="00DD1F03">
              <w:rPr>
                <w:rFonts w:ascii="Calibri" w:hAnsi="Calibri"/>
                <w:i/>
                <w:color w:val="000000"/>
                <w:sz w:val="20"/>
                <w:szCs w:val="20"/>
              </w:rPr>
              <w:t>p</w:t>
            </w:r>
            <w:r w:rsidR="00002056">
              <w:rPr>
                <w:rFonts w:ascii="Calibri" w:hAnsi="Calibri"/>
                <w:i/>
                <w:color w:val="000000"/>
                <w:sz w:val="20"/>
                <w:szCs w:val="20"/>
              </w:rPr>
              <w:t>roject</w:t>
            </w:r>
            <w:r>
              <w:rPr>
                <w:rFonts w:ascii="Calibri" w:hAnsi="Calibri"/>
                <w:i/>
                <w:color w:val="000000"/>
                <w:sz w:val="20"/>
                <w:szCs w:val="20"/>
              </w:rPr>
              <w:t xml:space="preserve"> will </w:t>
            </w:r>
            <w:r w:rsidR="006B196D">
              <w:rPr>
                <w:rFonts w:ascii="Calibri" w:hAnsi="Calibri"/>
                <w:i/>
                <w:color w:val="000000"/>
                <w:sz w:val="20"/>
                <w:szCs w:val="20"/>
              </w:rPr>
              <w:t>reinforce</w:t>
            </w:r>
            <w:r>
              <w:rPr>
                <w:rFonts w:ascii="Calibri" w:hAnsi="Calibri"/>
                <w:i/>
                <w:color w:val="000000"/>
                <w:sz w:val="20"/>
                <w:szCs w:val="20"/>
              </w:rPr>
              <w:t xml:space="preserve"> close partnership with the local governments, </w:t>
            </w:r>
            <w:r w:rsidR="006B196D">
              <w:rPr>
                <w:rFonts w:ascii="Calibri" w:hAnsi="Calibri"/>
                <w:i/>
                <w:color w:val="000000"/>
                <w:sz w:val="20"/>
                <w:szCs w:val="20"/>
              </w:rPr>
              <w:t xml:space="preserve">universities and </w:t>
            </w:r>
            <w:r>
              <w:rPr>
                <w:rFonts w:ascii="Calibri" w:hAnsi="Calibri"/>
                <w:i/>
                <w:color w:val="000000"/>
                <w:sz w:val="20"/>
                <w:szCs w:val="20"/>
              </w:rPr>
              <w:t xml:space="preserve">civil society. </w:t>
            </w:r>
          </w:p>
          <w:p w:rsidR="009E0AE0" w:rsidRPr="009E0AE0" w:rsidRDefault="009E0AE0" w:rsidP="009E0AE0">
            <w:pPr>
              <w:tabs>
                <w:tab w:val="num" w:pos="709"/>
                <w:tab w:val="left" w:pos="2124"/>
                <w:tab w:val="left" w:pos="2832"/>
                <w:tab w:val="left" w:pos="3540"/>
                <w:tab w:val="left" w:pos="4248"/>
                <w:tab w:val="left" w:pos="4956"/>
                <w:tab w:val="left" w:pos="5664"/>
                <w:tab w:val="left" w:pos="6372"/>
                <w:tab w:val="left" w:pos="7080"/>
                <w:tab w:val="left" w:pos="7788"/>
                <w:tab w:val="left" w:pos="8496"/>
              </w:tabs>
              <w:spacing w:after="120"/>
              <w:jc w:val="both"/>
              <w:rPr>
                <w:rFonts w:asciiTheme="minorHAnsi" w:hAnsiTheme="minorHAnsi"/>
                <w:b/>
                <w:i/>
                <w:color w:val="0070C0"/>
                <w:sz w:val="20"/>
              </w:rPr>
            </w:pPr>
            <w:r w:rsidRPr="009E0AE0">
              <w:rPr>
                <w:rFonts w:asciiTheme="minorHAnsi" w:hAnsiTheme="minorHAnsi"/>
                <w:b/>
                <w:i/>
                <w:color w:val="0070C0"/>
                <w:sz w:val="20"/>
              </w:rPr>
              <w:t>Target Groups:</w:t>
            </w:r>
          </w:p>
          <w:p w:rsidR="009E0AE0" w:rsidRPr="009E0AE0" w:rsidRDefault="009E0AE0" w:rsidP="009E0AE0">
            <w:pPr>
              <w:pStyle w:val="ListParagraph"/>
              <w:numPr>
                <w:ilvl w:val="0"/>
                <w:numId w:val="7"/>
              </w:numPr>
              <w:tabs>
                <w:tab w:val="num" w:pos="709"/>
                <w:tab w:val="left" w:pos="2124"/>
                <w:tab w:val="left" w:pos="2832"/>
                <w:tab w:val="left" w:pos="3540"/>
                <w:tab w:val="left" w:pos="4248"/>
                <w:tab w:val="left" w:pos="4956"/>
                <w:tab w:val="left" w:pos="5664"/>
                <w:tab w:val="left" w:pos="6372"/>
                <w:tab w:val="left" w:pos="7080"/>
                <w:tab w:val="left" w:pos="7788"/>
                <w:tab w:val="left" w:pos="8496"/>
              </w:tabs>
              <w:spacing w:after="120"/>
              <w:ind w:left="720" w:hanging="360"/>
              <w:jc w:val="both"/>
              <w:rPr>
                <w:rFonts w:asciiTheme="minorHAnsi" w:hAnsiTheme="minorHAnsi"/>
                <w:i/>
                <w:sz w:val="20"/>
              </w:rPr>
            </w:pPr>
            <w:r w:rsidRPr="009E0AE0">
              <w:rPr>
                <w:rFonts w:asciiTheme="minorHAnsi" w:hAnsiTheme="minorHAnsi"/>
                <w:b/>
                <w:i/>
                <w:sz w:val="20"/>
              </w:rPr>
              <w:t xml:space="preserve">Civil servants in </w:t>
            </w:r>
            <w:r w:rsidR="00F32FF9">
              <w:rPr>
                <w:rFonts w:asciiTheme="minorHAnsi" w:hAnsiTheme="minorHAnsi"/>
                <w:b/>
                <w:i/>
                <w:sz w:val="20"/>
              </w:rPr>
              <w:t xml:space="preserve">selected </w:t>
            </w:r>
            <w:r w:rsidRPr="009E0AE0">
              <w:rPr>
                <w:rFonts w:asciiTheme="minorHAnsi" w:hAnsiTheme="minorHAnsi"/>
                <w:b/>
                <w:i/>
                <w:sz w:val="20"/>
              </w:rPr>
              <w:t xml:space="preserve">line ministries </w:t>
            </w:r>
            <w:r>
              <w:rPr>
                <w:rFonts w:asciiTheme="minorHAnsi" w:hAnsiTheme="minorHAnsi"/>
                <w:b/>
                <w:i/>
                <w:sz w:val="20"/>
              </w:rPr>
              <w:t>at entity levels of government.</w:t>
            </w:r>
          </w:p>
          <w:p w:rsidR="009E0AE0" w:rsidRDefault="009E0AE0" w:rsidP="009E0AE0">
            <w:pPr>
              <w:pStyle w:val="ListParagraph"/>
              <w:numPr>
                <w:ilvl w:val="0"/>
                <w:numId w:val="7"/>
              </w:numPr>
              <w:tabs>
                <w:tab w:val="num" w:pos="709"/>
                <w:tab w:val="left" w:pos="2124"/>
                <w:tab w:val="left" w:pos="2832"/>
                <w:tab w:val="left" w:pos="3540"/>
                <w:tab w:val="left" w:pos="4248"/>
                <w:tab w:val="left" w:pos="4956"/>
                <w:tab w:val="left" w:pos="5664"/>
                <w:tab w:val="left" w:pos="6372"/>
                <w:tab w:val="left" w:pos="7080"/>
                <w:tab w:val="left" w:pos="7788"/>
                <w:tab w:val="left" w:pos="8496"/>
              </w:tabs>
              <w:spacing w:after="120"/>
              <w:ind w:left="720" w:hanging="360"/>
              <w:jc w:val="both"/>
              <w:rPr>
                <w:rFonts w:asciiTheme="minorHAnsi" w:hAnsiTheme="minorHAnsi"/>
                <w:b/>
                <w:i/>
                <w:sz w:val="20"/>
              </w:rPr>
            </w:pPr>
            <w:r>
              <w:rPr>
                <w:rFonts w:asciiTheme="minorHAnsi" w:hAnsiTheme="minorHAnsi"/>
                <w:b/>
                <w:i/>
                <w:sz w:val="20"/>
              </w:rPr>
              <w:t xml:space="preserve">Agency </w:t>
            </w:r>
            <w:r w:rsidR="00DD1F03">
              <w:rPr>
                <w:rFonts w:asciiTheme="minorHAnsi" w:hAnsiTheme="minorHAnsi"/>
                <w:b/>
                <w:i/>
                <w:sz w:val="20"/>
              </w:rPr>
              <w:t xml:space="preserve">for Gender Equality and </w:t>
            </w:r>
            <w:r>
              <w:rPr>
                <w:rFonts w:asciiTheme="minorHAnsi" w:hAnsiTheme="minorHAnsi"/>
                <w:b/>
                <w:i/>
                <w:sz w:val="20"/>
              </w:rPr>
              <w:t xml:space="preserve">two </w:t>
            </w:r>
            <w:proofErr w:type="gramStart"/>
            <w:r w:rsidR="00DD1F03">
              <w:rPr>
                <w:rFonts w:asciiTheme="minorHAnsi" w:hAnsiTheme="minorHAnsi"/>
                <w:b/>
                <w:i/>
                <w:sz w:val="20"/>
              </w:rPr>
              <w:t>entity</w:t>
            </w:r>
            <w:proofErr w:type="gramEnd"/>
            <w:r w:rsidR="00DD1F03">
              <w:rPr>
                <w:rFonts w:asciiTheme="minorHAnsi" w:hAnsiTheme="minorHAnsi"/>
                <w:b/>
                <w:i/>
                <w:sz w:val="20"/>
              </w:rPr>
              <w:t xml:space="preserve"> </w:t>
            </w:r>
            <w:r>
              <w:rPr>
                <w:rFonts w:asciiTheme="minorHAnsi" w:hAnsiTheme="minorHAnsi"/>
                <w:b/>
                <w:i/>
                <w:sz w:val="20"/>
              </w:rPr>
              <w:t xml:space="preserve">Gender </w:t>
            </w:r>
            <w:proofErr w:type="spellStart"/>
            <w:r>
              <w:rPr>
                <w:rFonts w:asciiTheme="minorHAnsi" w:hAnsiTheme="minorHAnsi"/>
                <w:b/>
                <w:i/>
                <w:sz w:val="20"/>
              </w:rPr>
              <w:t>Centres</w:t>
            </w:r>
            <w:proofErr w:type="spellEnd"/>
            <w:r>
              <w:rPr>
                <w:rFonts w:asciiTheme="minorHAnsi" w:hAnsiTheme="minorHAnsi"/>
                <w:b/>
                <w:i/>
                <w:sz w:val="20"/>
              </w:rPr>
              <w:t>.</w:t>
            </w:r>
          </w:p>
          <w:p w:rsidR="009E0AE0" w:rsidRPr="009E0AE0" w:rsidRDefault="009E0AE0" w:rsidP="009E0AE0">
            <w:pPr>
              <w:pStyle w:val="ListParagraph"/>
              <w:numPr>
                <w:ilvl w:val="0"/>
                <w:numId w:val="7"/>
              </w:numPr>
              <w:tabs>
                <w:tab w:val="num" w:pos="709"/>
                <w:tab w:val="left" w:pos="2124"/>
                <w:tab w:val="left" w:pos="2832"/>
                <w:tab w:val="left" w:pos="3540"/>
                <w:tab w:val="left" w:pos="4248"/>
                <w:tab w:val="left" w:pos="4956"/>
                <w:tab w:val="left" w:pos="5664"/>
                <w:tab w:val="left" w:pos="6372"/>
                <w:tab w:val="left" w:pos="7080"/>
                <w:tab w:val="left" w:pos="7788"/>
                <w:tab w:val="left" w:pos="8496"/>
              </w:tabs>
              <w:spacing w:after="120"/>
              <w:ind w:left="720" w:hanging="360"/>
              <w:jc w:val="both"/>
              <w:rPr>
                <w:rFonts w:asciiTheme="minorHAnsi" w:hAnsiTheme="minorHAnsi"/>
                <w:b/>
                <w:i/>
                <w:sz w:val="20"/>
              </w:rPr>
            </w:pPr>
            <w:r>
              <w:rPr>
                <w:rFonts w:asciiTheme="minorHAnsi" w:hAnsiTheme="minorHAnsi"/>
                <w:b/>
                <w:i/>
                <w:sz w:val="20"/>
              </w:rPr>
              <w:t xml:space="preserve">Ministries of Finance </w:t>
            </w:r>
            <w:r w:rsidR="00F32FF9">
              <w:rPr>
                <w:rFonts w:asciiTheme="minorHAnsi" w:hAnsiTheme="minorHAnsi"/>
                <w:b/>
                <w:i/>
                <w:sz w:val="20"/>
              </w:rPr>
              <w:t>at</w:t>
            </w:r>
            <w:r>
              <w:rPr>
                <w:rFonts w:asciiTheme="minorHAnsi" w:hAnsiTheme="minorHAnsi"/>
                <w:b/>
                <w:i/>
                <w:sz w:val="20"/>
              </w:rPr>
              <w:t xml:space="preserve"> entity level.</w:t>
            </w:r>
          </w:p>
          <w:p w:rsidR="009E0AE0" w:rsidRPr="00F32FF9" w:rsidRDefault="009E0AE0" w:rsidP="009E0AE0">
            <w:pPr>
              <w:numPr>
                <w:ilvl w:val="0"/>
                <w:numId w:val="7"/>
              </w:numPr>
              <w:tabs>
                <w:tab w:val="num" w:pos="709"/>
                <w:tab w:val="left" w:pos="2124"/>
                <w:tab w:val="left" w:pos="2832"/>
                <w:tab w:val="left" w:pos="3540"/>
                <w:tab w:val="left" w:pos="4248"/>
                <w:tab w:val="left" w:pos="4956"/>
                <w:tab w:val="left" w:pos="5664"/>
                <w:tab w:val="left" w:pos="6372"/>
                <w:tab w:val="left" w:pos="7080"/>
                <w:tab w:val="left" w:pos="7788"/>
                <w:tab w:val="left" w:pos="8496"/>
              </w:tabs>
              <w:spacing w:after="120"/>
              <w:ind w:left="720" w:hanging="360"/>
              <w:jc w:val="both"/>
              <w:rPr>
                <w:rFonts w:asciiTheme="minorHAnsi" w:hAnsiTheme="minorHAnsi"/>
                <w:i/>
                <w:sz w:val="20"/>
              </w:rPr>
            </w:pPr>
            <w:r w:rsidRPr="009E0AE0">
              <w:rPr>
                <w:rFonts w:asciiTheme="minorHAnsi" w:hAnsiTheme="minorHAnsi"/>
                <w:b/>
                <w:i/>
                <w:sz w:val="20"/>
              </w:rPr>
              <w:t>Members of Parliament</w:t>
            </w:r>
            <w:r w:rsidR="00DD1F03">
              <w:rPr>
                <w:rFonts w:asciiTheme="minorHAnsi" w:hAnsiTheme="minorHAnsi"/>
                <w:b/>
                <w:i/>
                <w:sz w:val="20"/>
              </w:rPr>
              <w:t>.</w:t>
            </w:r>
            <w:r w:rsidRPr="009E0AE0">
              <w:rPr>
                <w:rFonts w:asciiTheme="minorHAnsi" w:hAnsiTheme="minorHAnsi"/>
                <w:b/>
                <w:i/>
                <w:sz w:val="20"/>
              </w:rPr>
              <w:t xml:space="preserve"> </w:t>
            </w:r>
          </w:p>
          <w:p w:rsidR="00F32FF9" w:rsidRPr="009E0AE0" w:rsidRDefault="00F32FF9" w:rsidP="009E0AE0">
            <w:pPr>
              <w:numPr>
                <w:ilvl w:val="0"/>
                <w:numId w:val="7"/>
              </w:numPr>
              <w:tabs>
                <w:tab w:val="num" w:pos="709"/>
                <w:tab w:val="left" w:pos="2124"/>
                <w:tab w:val="left" w:pos="2832"/>
                <w:tab w:val="left" w:pos="3540"/>
                <w:tab w:val="left" w:pos="4248"/>
                <w:tab w:val="left" w:pos="4956"/>
                <w:tab w:val="left" w:pos="5664"/>
                <w:tab w:val="left" w:pos="6372"/>
                <w:tab w:val="left" w:pos="7080"/>
                <w:tab w:val="left" w:pos="7788"/>
                <w:tab w:val="left" w:pos="8496"/>
              </w:tabs>
              <w:spacing w:after="120"/>
              <w:ind w:left="720" w:hanging="360"/>
              <w:jc w:val="both"/>
              <w:rPr>
                <w:rFonts w:asciiTheme="minorHAnsi" w:hAnsiTheme="minorHAnsi"/>
                <w:i/>
                <w:sz w:val="20"/>
              </w:rPr>
            </w:pPr>
            <w:r>
              <w:rPr>
                <w:rFonts w:asciiTheme="minorHAnsi" w:hAnsiTheme="minorHAnsi"/>
                <w:b/>
                <w:i/>
                <w:sz w:val="20"/>
              </w:rPr>
              <w:t>Municipalities.</w:t>
            </w:r>
          </w:p>
          <w:p w:rsidR="009E0AE0" w:rsidRPr="009E0AE0" w:rsidRDefault="009E0AE0" w:rsidP="009E0AE0">
            <w:pPr>
              <w:numPr>
                <w:ilvl w:val="0"/>
                <w:numId w:val="7"/>
              </w:numPr>
              <w:tabs>
                <w:tab w:val="num" w:pos="709"/>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120"/>
              <w:ind w:left="720" w:hanging="360"/>
              <w:jc w:val="both"/>
              <w:rPr>
                <w:rFonts w:asciiTheme="minorHAnsi" w:hAnsiTheme="minorHAnsi"/>
                <w:i/>
                <w:color w:val="000000"/>
                <w:sz w:val="16"/>
                <w:szCs w:val="20"/>
              </w:rPr>
            </w:pPr>
            <w:r w:rsidRPr="009E0AE0">
              <w:rPr>
                <w:rFonts w:asciiTheme="minorHAnsi" w:hAnsiTheme="minorHAnsi"/>
                <w:b/>
                <w:i/>
                <w:sz w:val="20"/>
              </w:rPr>
              <w:t>Civil society organizations</w:t>
            </w:r>
            <w:r w:rsidR="00F32FF9">
              <w:rPr>
                <w:rFonts w:asciiTheme="minorHAnsi" w:hAnsiTheme="minorHAnsi"/>
                <w:b/>
                <w:i/>
                <w:sz w:val="20"/>
              </w:rPr>
              <w:t>.</w:t>
            </w:r>
          </w:p>
          <w:p w:rsidR="002C1B6D" w:rsidRPr="009E0AE0" w:rsidRDefault="009E0AE0" w:rsidP="009E0AE0">
            <w:pPr>
              <w:numPr>
                <w:ilvl w:val="0"/>
                <w:numId w:val="7"/>
              </w:numPr>
              <w:tabs>
                <w:tab w:val="num" w:pos="709"/>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120"/>
              <w:ind w:left="720" w:hanging="360"/>
              <w:jc w:val="both"/>
              <w:rPr>
                <w:rFonts w:asciiTheme="minorHAnsi" w:hAnsiTheme="minorHAnsi"/>
                <w:i/>
                <w:color w:val="000000"/>
                <w:sz w:val="16"/>
                <w:szCs w:val="20"/>
              </w:rPr>
            </w:pPr>
            <w:r w:rsidRPr="009E0AE0">
              <w:rPr>
                <w:rFonts w:asciiTheme="minorHAnsi" w:hAnsiTheme="minorHAnsi"/>
                <w:b/>
                <w:i/>
                <w:sz w:val="20"/>
              </w:rPr>
              <w:t>Academia</w:t>
            </w:r>
            <w:r w:rsidR="00F32FF9">
              <w:rPr>
                <w:rFonts w:asciiTheme="minorHAnsi" w:hAnsiTheme="minorHAnsi"/>
                <w:b/>
                <w:i/>
                <w:sz w:val="20"/>
              </w:rPr>
              <w:t>.</w:t>
            </w:r>
          </w:p>
          <w:p w:rsidR="002C1B6D" w:rsidRDefault="002C1B6D" w:rsidP="002C1B6D">
            <w:pPr>
              <w:pStyle w:val="ListParagraph"/>
              <w:ind w:left="0"/>
              <w:contextualSpacing/>
              <w:jc w:val="both"/>
              <w:rPr>
                <w:rFonts w:ascii="Calibri" w:hAnsi="Calibri" w:cs="Calibri"/>
                <w:bCs/>
                <w:i/>
                <w:color w:val="000000"/>
                <w:sz w:val="16"/>
                <w:szCs w:val="16"/>
                <w:lang w:val="en-CA"/>
              </w:rPr>
            </w:pPr>
          </w:p>
          <w:p w:rsidR="00F32FF9" w:rsidRDefault="00F32FF9" w:rsidP="002C1B6D">
            <w:pPr>
              <w:pStyle w:val="ListParagraph"/>
              <w:ind w:left="0"/>
              <w:contextualSpacing/>
              <w:jc w:val="both"/>
              <w:rPr>
                <w:rFonts w:ascii="Calibri" w:hAnsi="Calibri" w:cs="Calibri"/>
                <w:bCs/>
                <w:i/>
                <w:color w:val="000000"/>
                <w:sz w:val="16"/>
                <w:szCs w:val="16"/>
                <w:lang w:val="en-CA"/>
              </w:rPr>
            </w:pPr>
          </w:p>
          <w:p w:rsidR="00F32FF9" w:rsidRDefault="00F32FF9" w:rsidP="002C1B6D">
            <w:pPr>
              <w:pStyle w:val="ListParagraph"/>
              <w:ind w:left="0"/>
              <w:contextualSpacing/>
              <w:jc w:val="both"/>
              <w:rPr>
                <w:rFonts w:ascii="Calibri" w:hAnsi="Calibri" w:cs="Calibri"/>
                <w:bCs/>
                <w:i/>
                <w:color w:val="000000"/>
                <w:sz w:val="16"/>
                <w:szCs w:val="16"/>
                <w:lang w:val="en-CA"/>
              </w:rPr>
            </w:pPr>
          </w:p>
          <w:p w:rsidR="00F32FF9" w:rsidRPr="00771D76" w:rsidRDefault="00F32FF9" w:rsidP="002C1B6D">
            <w:pPr>
              <w:pStyle w:val="ListParagraph"/>
              <w:ind w:left="0"/>
              <w:contextualSpacing/>
              <w:jc w:val="both"/>
              <w:rPr>
                <w:rFonts w:ascii="Calibri" w:hAnsi="Calibri" w:cs="Calibri"/>
                <w:bCs/>
                <w:i/>
                <w:color w:val="000000"/>
                <w:sz w:val="16"/>
                <w:szCs w:val="16"/>
                <w:lang w:val="en-CA"/>
              </w:rPr>
            </w:pPr>
          </w:p>
          <w:p w:rsidR="002C1B6D" w:rsidRPr="00C331BE" w:rsidRDefault="009E0AE0" w:rsidP="002C1B6D">
            <w:pPr>
              <w:autoSpaceDE w:val="0"/>
              <w:autoSpaceDN w:val="0"/>
              <w:adjustRightInd w:val="0"/>
              <w:jc w:val="center"/>
              <w:rPr>
                <w:rFonts w:ascii="Calibri" w:hAnsi="Calibri" w:cs="Calibri"/>
                <w:b/>
                <w:bCs/>
                <w:i/>
                <w:color w:val="0070C0"/>
                <w:sz w:val="32"/>
                <w:szCs w:val="32"/>
                <w:u w:val="single"/>
              </w:rPr>
            </w:pPr>
            <w:r>
              <w:rPr>
                <w:rFonts w:ascii="Calibri" w:hAnsi="Calibri" w:cs="Calibri"/>
                <w:b/>
                <w:bCs/>
                <w:i/>
                <w:color w:val="0070C0"/>
                <w:sz w:val="32"/>
                <w:szCs w:val="32"/>
                <w:u w:val="single"/>
              </w:rPr>
              <w:lastRenderedPageBreak/>
              <w:t>Innovative Approach</w:t>
            </w:r>
          </w:p>
          <w:p w:rsidR="002C1B6D" w:rsidRDefault="002C1B6D" w:rsidP="002C1B6D">
            <w:pPr>
              <w:jc w:val="center"/>
              <w:rPr>
                <w:rFonts w:ascii="Calibri" w:hAnsi="Calibri" w:cs="Calibri"/>
                <w:b/>
                <w:i/>
                <w:color w:val="0070C0"/>
                <w:sz w:val="32"/>
                <w:szCs w:val="32"/>
              </w:rPr>
            </w:pPr>
          </w:p>
          <w:p w:rsidR="009E0AE0" w:rsidRDefault="009E0AE0" w:rsidP="009E0AE0">
            <w:pPr>
              <w:jc w:val="both"/>
              <w:rPr>
                <w:rFonts w:ascii="Calibri" w:hAnsi="Calibri"/>
                <w:i/>
                <w:sz w:val="20"/>
                <w:szCs w:val="16"/>
              </w:rPr>
            </w:pPr>
            <w:r w:rsidRPr="009E0AE0">
              <w:rPr>
                <w:rFonts w:ascii="Calibri" w:hAnsi="Calibri"/>
                <w:b/>
                <w:i/>
                <w:sz w:val="20"/>
                <w:szCs w:val="16"/>
              </w:rPr>
              <w:t>Gender Responsive Budgeting (GRB)</w:t>
            </w:r>
            <w:r w:rsidRPr="009E0AE0">
              <w:rPr>
                <w:rFonts w:ascii="Calibri" w:hAnsi="Calibri"/>
                <w:i/>
                <w:sz w:val="20"/>
                <w:szCs w:val="16"/>
              </w:rPr>
              <w:t xml:space="preserve"> is an innovative public policy tool for assessing the revenues with gender lenses and targeting the expenditures towards the needs of women and men. </w:t>
            </w:r>
          </w:p>
          <w:p w:rsidR="009E0AE0" w:rsidRDefault="009E0AE0" w:rsidP="009E0AE0">
            <w:pPr>
              <w:jc w:val="both"/>
              <w:rPr>
                <w:rFonts w:ascii="Calibri" w:hAnsi="Calibri"/>
                <w:i/>
                <w:sz w:val="20"/>
                <w:szCs w:val="16"/>
              </w:rPr>
            </w:pPr>
          </w:p>
          <w:p w:rsidR="009E0AE0" w:rsidRDefault="009E0AE0" w:rsidP="009E0AE0">
            <w:pPr>
              <w:jc w:val="both"/>
              <w:rPr>
                <w:rFonts w:ascii="Calibri" w:hAnsi="Calibri"/>
                <w:i/>
                <w:sz w:val="20"/>
                <w:szCs w:val="16"/>
              </w:rPr>
            </w:pPr>
            <w:r w:rsidRPr="009E0AE0">
              <w:rPr>
                <w:rFonts w:ascii="Calibri" w:hAnsi="Calibri"/>
                <w:i/>
                <w:sz w:val="20"/>
                <w:szCs w:val="16"/>
              </w:rPr>
              <w:t xml:space="preserve">It aims to close gender gaps and reduce gender inequalities by strengthening the government’s accountability with respect to gender equality. </w:t>
            </w:r>
          </w:p>
          <w:p w:rsidR="009E0AE0" w:rsidRDefault="009E0AE0" w:rsidP="009E0AE0">
            <w:pPr>
              <w:jc w:val="both"/>
              <w:rPr>
                <w:rFonts w:ascii="Calibri" w:hAnsi="Calibri"/>
                <w:i/>
                <w:sz w:val="20"/>
                <w:szCs w:val="16"/>
              </w:rPr>
            </w:pPr>
          </w:p>
          <w:p w:rsidR="009E0AE0" w:rsidRDefault="009E0AE0" w:rsidP="009E0AE0">
            <w:pPr>
              <w:jc w:val="both"/>
              <w:rPr>
                <w:rFonts w:ascii="Calibri" w:hAnsi="Calibri"/>
                <w:i/>
                <w:sz w:val="20"/>
                <w:szCs w:val="16"/>
              </w:rPr>
            </w:pPr>
            <w:r w:rsidRPr="009E0AE0">
              <w:rPr>
                <w:rFonts w:ascii="Calibri" w:hAnsi="Calibri"/>
                <w:i/>
                <w:sz w:val="20"/>
                <w:szCs w:val="16"/>
              </w:rPr>
              <w:t>GRB advances gender equality and it contributes to the efficiency, transparency and accountability of government budgets and consultation processes.</w:t>
            </w:r>
          </w:p>
          <w:p w:rsidR="00F32FF9" w:rsidRDefault="00F32FF9" w:rsidP="009E0AE0">
            <w:pPr>
              <w:jc w:val="both"/>
              <w:rPr>
                <w:rFonts w:ascii="Calibri" w:hAnsi="Calibri"/>
                <w:i/>
                <w:sz w:val="20"/>
                <w:szCs w:val="16"/>
              </w:rPr>
            </w:pPr>
          </w:p>
          <w:p w:rsidR="00F32FF9" w:rsidRPr="00771D76" w:rsidRDefault="00F32FF9" w:rsidP="00F32FF9">
            <w:pPr>
              <w:jc w:val="both"/>
              <w:rPr>
                <w:rFonts w:ascii="Calibri" w:hAnsi="Calibri" w:cs="Calibri"/>
                <w:i/>
                <w:color w:val="0070C0"/>
                <w:sz w:val="20"/>
                <w:szCs w:val="20"/>
              </w:rPr>
            </w:pPr>
            <w:r w:rsidRPr="00771D76">
              <w:rPr>
                <w:rFonts w:ascii="Calibri" w:hAnsi="Calibri" w:cs="Calibri"/>
                <w:b/>
                <w:bCs/>
                <w:i/>
                <w:color w:val="0070C0"/>
                <w:sz w:val="20"/>
                <w:szCs w:val="20"/>
              </w:rPr>
              <w:t>Contacts</w:t>
            </w:r>
          </w:p>
          <w:p w:rsidR="00944320" w:rsidRDefault="00F32FF9" w:rsidP="00F32FF9">
            <w:pPr>
              <w:autoSpaceDE w:val="0"/>
              <w:autoSpaceDN w:val="0"/>
              <w:adjustRightInd w:val="0"/>
              <w:rPr>
                <w:rFonts w:ascii="Calibri" w:hAnsi="Calibri" w:cs="Calibri"/>
                <w:i/>
                <w:color w:val="000000"/>
                <w:sz w:val="20"/>
                <w:szCs w:val="20"/>
              </w:rPr>
            </w:pPr>
            <w:r>
              <w:rPr>
                <w:rFonts w:ascii="Calibri" w:hAnsi="Calibri" w:cs="Calibri"/>
                <w:b/>
                <w:i/>
                <w:color w:val="000000"/>
                <w:sz w:val="20"/>
                <w:szCs w:val="20"/>
              </w:rPr>
              <w:t>Anne-Marie Esper Larsen</w:t>
            </w:r>
            <w:r w:rsidRPr="00771D76">
              <w:rPr>
                <w:rFonts w:ascii="Calibri" w:hAnsi="Calibri" w:cs="Calibri"/>
                <w:b/>
                <w:i/>
                <w:color w:val="000000"/>
                <w:sz w:val="20"/>
                <w:szCs w:val="20"/>
              </w:rPr>
              <w:t xml:space="preserve">, </w:t>
            </w:r>
            <w:r>
              <w:rPr>
                <w:rFonts w:ascii="Calibri" w:hAnsi="Calibri" w:cs="Calibri"/>
                <w:i/>
                <w:color w:val="000000"/>
                <w:sz w:val="20"/>
                <w:szCs w:val="20"/>
              </w:rPr>
              <w:t>UN Women Representative to BiH,</w:t>
            </w:r>
          </w:p>
          <w:p w:rsidR="00F32FF9" w:rsidRDefault="00F32FF9" w:rsidP="00F32FF9">
            <w:pPr>
              <w:autoSpaceDE w:val="0"/>
              <w:autoSpaceDN w:val="0"/>
              <w:adjustRightInd w:val="0"/>
              <w:rPr>
                <w:rFonts w:ascii="Calibri" w:hAnsi="Calibri" w:cs="Calibri"/>
                <w:b/>
                <w:i/>
                <w:color w:val="000000"/>
                <w:sz w:val="20"/>
                <w:szCs w:val="20"/>
              </w:rPr>
            </w:pPr>
            <w:r>
              <w:rPr>
                <w:rFonts w:ascii="Calibri" w:hAnsi="Calibri" w:cs="Calibri"/>
                <w:i/>
                <w:color w:val="000000"/>
                <w:sz w:val="20"/>
                <w:szCs w:val="20"/>
              </w:rPr>
              <w:t xml:space="preserve"> </w:t>
            </w:r>
            <w:hyperlink r:id="rId8" w:history="1">
              <w:r w:rsidRPr="00312BD1">
                <w:rPr>
                  <w:rStyle w:val="Hyperlink"/>
                  <w:rFonts w:ascii="Calibri" w:hAnsi="Calibri" w:cs="Calibri"/>
                  <w:b/>
                  <w:i/>
                  <w:sz w:val="20"/>
                  <w:szCs w:val="20"/>
                </w:rPr>
                <w:t>anne-marie.esper-larsen@unwomen.org</w:t>
              </w:r>
            </w:hyperlink>
          </w:p>
          <w:p w:rsidR="00F32FF9" w:rsidRDefault="00F32FF9" w:rsidP="00F32FF9">
            <w:pPr>
              <w:autoSpaceDE w:val="0"/>
              <w:autoSpaceDN w:val="0"/>
              <w:adjustRightInd w:val="0"/>
              <w:rPr>
                <w:rFonts w:ascii="Calibri" w:hAnsi="Calibri" w:cs="Calibri"/>
                <w:b/>
                <w:i/>
                <w:color w:val="000000"/>
                <w:sz w:val="20"/>
                <w:szCs w:val="20"/>
              </w:rPr>
            </w:pPr>
          </w:p>
          <w:p w:rsidR="00F32FF9" w:rsidRDefault="00F32FF9" w:rsidP="00F32FF9">
            <w:pPr>
              <w:autoSpaceDE w:val="0"/>
              <w:autoSpaceDN w:val="0"/>
              <w:adjustRightInd w:val="0"/>
              <w:rPr>
                <w:rFonts w:ascii="Calibri" w:hAnsi="Calibri" w:cs="Calibri"/>
                <w:b/>
                <w:i/>
                <w:color w:val="000000"/>
                <w:sz w:val="20"/>
                <w:szCs w:val="20"/>
              </w:rPr>
            </w:pPr>
            <w:r>
              <w:rPr>
                <w:rFonts w:ascii="Calibri" w:hAnsi="Calibri" w:cs="Calibri"/>
                <w:b/>
                <w:i/>
                <w:color w:val="000000"/>
                <w:sz w:val="20"/>
                <w:szCs w:val="20"/>
              </w:rPr>
              <w:t xml:space="preserve">Ermira Lubani, </w:t>
            </w:r>
            <w:r w:rsidRPr="0093178C">
              <w:rPr>
                <w:rFonts w:ascii="Calibri" w:hAnsi="Calibri" w:cs="Calibri"/>
                <w:i/>
                <w:color w:val="000000"/>
                <w:sz w:val="20"/>
                <w:szCs w:val="20"/>
              </w:rPr>
              <w:t xml:space="preserve">Regional </w:t>
            </w:r>
            <w:r w:rsidR="00002056">
              <w:rPr>
                <w:rFonts w:ascii="Calibri" w:hAnsi="Calibri" w:cs="Calibri"/>
                <w:i/>
                <w:color w:val="000000"/>
                <w:sz w:val="20"/>
                <w:szCs w:val="20"/>
              </w:rPr>
              <w:t>Project</w:t>
            </w:r>
            <w:r w:rsidRPr="0093178C">
              <w:rPr>
                <w:rFonts w:ascii="Calibri" w:hAnsi="Calibri" w:cs="Calibri"/>
                <w:i/>
                <w:color w:val="000000"/>
                <w:sz w:val="20"/>
                <w:szCs w:val="20"/>
              </w:rPr>
              <w:t xml:space="preserve"> Manager,</w:t>
            </w:r>
            <w:r>
              <w:rPr>
                <w:rFonts w:ascii="Calibri" w:hAnsi="Calibri" w:cs="Calibri"/>
                <w:b/>
                <w:i/>
                <w:color w:val="000000"/>
                <w:sz w:val="20"/>
                <w:szCs w:val="20"/>
              </w:rPr>
              <w:t xml:space="preserve"> </w:t>
            </w:r>
            <w:hyperlink r:id="rId9" w:history="1">
              <w:r w:rsidRPr="001F0B77">
                <w:rPr>
                  <w:rStyle w:val="Hyperlink"/>
                  <w:rFonts w:ascii="Calibri" w:hAnsi="Calibri" w:cs="Calibri"/>
                  <w:b/>
                  <w:i/>
                  <w:sz w:val="20"/>
                  <w:szCs w:val="20"/>
                </w:rPr>
                <w:t>ermira.lubani@unwomen.org</w:t>
              </w:r>
            </w:hyperlink>
          </w:p>
          <w:p w:rsidR="00F32FF9" w:rsidRPr="000113ED" w:rsidRDefault="00F32FF9" w:rsidP="00F32FF9">
            <w:pPr>
              <w:autoSpaceDE w:val="0"/>
              <w:autoSpaceDN w:val="0"/>
              <w:adjustRightInd w:val="0"/>
              <w:rPr>
                <w:rFonts w:ascii="Calibri" w:hAnsi="Calibri" w:cs="Calibri"/>
                <w:i/>
                <w:color w:val="000000"/>
                <w:sz w:val="20"/>
                <w:szCs w:val="20"/>
              </w:rPr>
            </w:pPr>
          </w:p>
          <w:p w:rsidR="00F32FF9" w:rsidRPr="00771D76" w:rsidRDefault="00F32FF9" w:rsidP="00F32FF9">
            <w:pPr>
              <w:autoSpaceDE w:val="0"/>
              <w:autoSpaceDN w:val="0"/>
              <w:adjustRightInd w:val="0"/>
              <w:rPr>
                <w:rFonts w:ascii="Calibri" w:hAnsi="Calibri" w:cs="Calibri"/>
                <w:i/>
                <w:color w:val="000000"/>
                <w:sz w:val="20"/>
                <w:szCs w:val="20"/>
              </w:rPr>
            </w:pPr>
            <w:r>
              <w:rPr>
                <w:rFonts w:ascii="Calibri" w:hAnsi="Calibri" w:cs="Calibri"/>
                <w:b/>
                <w:i/>
                <w:color w:val="000000"/>
                <w:sz w:val="20"/>
                <w:szCs w:val="20"/>
              </w:rPr>
              <w:t>Anesa Dizdarevic</w:t>
            </w:r>
            <w:r w:rsidRPr="00771D76">
              <w:rPr>
                <w:rFonts w:ascii="Calibri" w:hAnsi="Calibri" w:cs="Calibri"/>
                <w:i/>
                <w:color w:val="000000"/>
                <w:sz w:val="20"/>
                <w:szCs w:val="20"/>
              </w:rPr>
              <w:t xml:space="preserve">, </w:t>
            </w:r>
            <w:r>
              <w:rPr>
                <w:rFonts w:ascii="Calibri" w:hAnsi="Calibri" w:cs="Calibri"/>
                <w:i/>
                <w:color w:val="000000"/>
                <w:sz w:val="20"/>
                <w:szCs w:val="20"/>
              </w:rPr>
              <w:t xml:space="preserve">National GRB Coordinator,  </w:t>
            </w:r>
            <w:hyperlink r:id="rId10" w:history="1">
              <w:r w:rsidRPr="001F0B77">
                <w:rPr>
                  <w:rStyle w:val="Hyperlink"/>
                  <w:rFonts w:ascii="Calibri" w:hAnsi="Calibri" w:cs="Calibri"/>
                  <w:b/>
                  <w:i/>
                  <w:sz w:val="20"/>
                  <w:szCs w:val="20"/>
                </w:rPr>
                <w:t>anesa.dizdarevic@unwomen.org</w:t>
              </w:r>
            </w:hyperlink>
            <w:r w:rsidRPr="00771D76">
              <w:rPr>
                <w:rFonts w:ascii="Calibri" w:hAnsi="Calibri" w:cs="Calibri"/>
                <w:i/>
                <w:color w:val="000000"/>
                <w:sz w:val="20"/>
                <w:szCs w:val="20"/>
              </w:rPr>
              <w:t xml:space="preserve"> </w:t>
            </w:r>
          </w:p>
          <w:p w:rsidR="00F32FF9" w:rsidRPr="002C1B6D" w:rsidDel="004A5F25" w:rsidRDefault="00F32FF9" w:rsidP="002C1B6D">
            <w:pPr>
              <w:jc w:val="both"/>
              <w:rPr>
                <w:rFonts w:ascii="Calibri" w:hAnsi="Calibri"/>
                <w:i/>
                <w:sz w:val="20"/>
                <w:szCs w:val="20"/>
              </w:rPr>
            </w:pPr>
          </w:p>
        </w:tc>
      </w:tr>
    </w:tbl>
    <w:p w:rsidR="009271FC" w:rsidRDefault="009271FC"/>
    <w:sectPr w:rsidR="009271FC" w:rsidSect="00F32FF9">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495C" w:rsidRDefault="0054495C" w:rsidP="006F0255">
      <w:r>
        <w:separator/>
      </w:r>
    </w:p>
  </w:endnote>
  <w:endnote w:type="continuationSeparator" w:id="0">
    <w:p w:rsidR="0054495C" w:rsidRDefault="0054495C" w:rsidP="006F025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ヒラギノ角ゴ Pro W3">
    <w:altName w:val="Times New Roman"/>
    <w:charset w:val="00"/>
    <w:family w:val="roman"/>
    <w:pitch w:val="default"/>
    <w:sig w:usb0="00000000" w:usb1="00000000" w:usb2="00000000" w:usb3="00000000" w:csb0="0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Myriad Pro">
    <w:panose1 w:val="020B0503030403020204"/>
    <w:charset w:val="00"/>
    <w:family w:val="swiss"/>
    <w:notTrueType/>
    <w:pitch w:val="variable"/>
    <w:sig w:usb0="A00002AF" w:usb1="5000204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495C" w:rsidRDefault="0054495C" w:rsidP="006F0255">
      <w:r>
        <w:separator/>
      </w:r>
    </w:p>
  </w:footnote>
  <w:footnote w:type="continuationSeparator" w:id="0">
    <w:p w:rsidR="0054495C" w:rsidRDefault="0054495C" w:rsidP="006F025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894EE876"/>
    <w:lvl w:ilvl="0">
      <w:start w:val="1"/>
      <w:numFmt w:val="bullet"/>
      <w:lvlText w:val=""/>
      <w:lvlJc w:val="left"/>
      <w:pPr>
        <w:tabs>
          <w:tab w:val="num" w:pos="208"/>
        </w:tabs>
        <w:ind w:left="208" w:firstLine="360"/>
      </w:pPr>
      <w:rPr>
        <w:rFonts w:ascii="Wingdings" w:eastAsia="ヒラギノ角ゴ Pro W3" w:hAnsi="Wingdings" w:hint="default"/>
        <w:position w:val="0"/>
        <w:sz w:val="20"/>
      </w:rPr>
    </w:lvl>
    <w:lvl w:ilvl="1">
      <w:start w:val="1"/>
      <w:numFmt w:val="bullet"/>
      <w:lvlText w:val="o"/>
      <w:lvlJc w:val="left"/>
      <w:pPr>
        <w:tabs>
          <w:tab w:val="num" w:pos="360"/>
        </w:tabs>
        <w:ind w:left="360" w:firstLine="1080"/>
      </w:pPr>
      <w:rPr>
        <w:rFonts w:ascii="Courier New" w:eastAsia="ヒラギノ角ゴ Pro W3" w:hAnsi="Courier New" w:hint="default"/>
        <w:position w:val="0"/>
        <w:sz w:val="20"/>
      </w:rPr>
    </w:lvl>
    <w:lvl w:ilvl="2">
      <w:start w:val="1"/>
      <w:numFmt w:val="bullet"/>
      <w:lvlText w:val=""/>
      <w:lvlJc w:val="left"/>
      <w:pPr>
        <w:tabs>
          <w:tab w:val="num" w:pos="360"/>
        </w:tabs>
        <w:ind w:left="360" w:firstLine="1800"/>
      </w:pPr>
      <w:rPr>
        <w:rFonts w:ascii="Wingdings" w:eastAsia="ヒラギノ角ゴ Pro W3" w:hAnsi="Wingdings" w:hint="default"/>
        <w:position w:val="0"/>
        <w:sz w:val="20"/>
      </w:rPr>
    </w:lvl>
    <w:lvl w:ilvl="3">
      <w:start w:val="1"/>
      <w:numFmt w:val="bullet"/>
      <w:lvlText w:val="•"/>
      <w:lvlJc w:val="left"/>
      <w:pPr>
        <w:tabs>
          <w:tab w:val="num" w:pos="360"/>
        </w:tabs>
        <w:ind w:left="360" w:firstLine="2520"/>
      </w:pPr>
      <w:rPr>
        <w:rFonts w:ascii="Lucida Grande" w:eastAsia="ヒラギノ角ゴ Pro W3" w:hAnsi="Symbol" w:hint="default"/>
        <w:position w:val="0"/>
        <w:sz w:val="20"/>
      </w:rPr>
    </w:lvl>
    <w:lvl w:ilvl="4">
      <w:start w:val="1"/>
      <w:numFmt w:val="bullet"/>
      <w:lvlText w:val="o"/>
      <w:lvlJc w:val="left"/>
      <w:pPr>
        <w:tabs>
          <w:tab w:val="num" w:pos="360"/>
        </w:tabs>
        <w:ind w:left="360" w:firstLine="3240"/>
      </w:pPr>
      <w:rPr>
        <w:rFonts w:ascii="Courier New" w:eastAsia="ヒラギノ角ゴ Pro W3" w:hAnsi="Courier New" w:hint="default"/>
        <w:position w:val="0"/>
        <w:sz w:val="20"/>
      </w:rPr>
    </w:lvl>
    <w:lvl w:ilvl="5">
      <w:start w:val="1"/>
      <w:numFmt w:val="bullet"/>
      <w:lvlText w:val=""/>
      <w:lvlJc w:val="left"/>
      <w:pPr>
        <w:tabs>
          <w:tab w:val="num" w:pos="360"/>
        </w:tabs>
        <w:ind w:left="360" w:firstLine="3960"/>
      </w:pPr>
      <w:rPr>
        <w:rFonts w:ascii="Wingdings" w:eastAsia="ヒラギノ角ゴ Pro W3" w:hAnsi="Wingdings" w:hint="default"/>
        <w:position w:val="0"/>
        <w:sz w:val="20"/>
      </w:rPr>
    </w:lvl>
    <w:lvl w:ilvl="6">
      <w:start w:val="1"/>
      <w:numFmt w:val="bullet"/>
      <w:lvlText w:val="•"/>
      <w:lvlJc w:val="left"/>
      <w:pPr>
        <w:tabs>
          <w:tab w:val="num" w:pos="360"/>
        </w:tabs>
        <w:ind w:left="360" w:firstLine="4680"/>
      </w:pPr>
      <w:rPr>
        <w:rFonts w:ascii="Lucida Grande" w:eastAsia="ヒラギノ角ゴ Pro W3" w:hAnsi="Symbol" w:hint="default"/>
        <w:position w:val="0"/>
        <w:sz w:val="20"/>
      </w:rPr>
    </w:lvl>
    <w:lvl w:ilvl="7">
      <w:start w:val="1"/>
      <w:numFmt w:val="bullet"/>
      <w:lvlText w:val="o"/>
      <w:lvlJc w:val="left"/>
      <w:pPr>
        <w:tabs>
          <w:tab w:val="num" w:pos="360"/>
        </w:tabs>
        <w:ind w:left="360" w:firstLine="5400"/>
      </w:pPr>
      <w:rPr>
        <w:rFonts w:ascii="Courier New" w:eastAsia="ヒラギノ角ゴ Pro W3" w:hAnsi="Courier New" w:hint="default"/>
        <w:position w:val="0"/>
        <w:sz w:val="20"/>
      </w:rPr>
    </w:lvl>
    <w:lvl w:ilvl="8">
      <w:start w:val="1"/>
      <w:numFmt w:val="bullet"/>
      <w:lvlText w:val=""/>
      <w:lvlJc w:val="left"/>
      <w:pPr>
        <w:tabs>
          <w:tab w:val="num" w:pos="360"/>
        </w:tabs>
        <w:ind w:left="360" w:firstLine="6120"/>
      </w:pPr>
      <w:rPr>
        <w:rFonts w:ascii="Wingdings" w:eastAsia="ヒラギノ角ゴ Pro W3" w:hAnsi="Wingdings" w:hint="default"/>
        <w:position w:val="0"/>
        <w:sz w:val="20"/>
      </w:rPr>
    </w:lvl>
  </w:abstractNum>
  <w:abstractNum w:abstractNumId="1">
    <w:nsid w:val="0BE6254D"/>
    <w:multiLevelType w:val="hybridMultilevel"/>
    <w:tmpl w:val="4D0074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D443761"/>
    <w:multiLevelType w:val="hybridMultilevel"/>
    <w:tmpl w:val="7520B9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81A7A38"/>
    <w:multiLevelType w:val="hybridMultilevel"/>
    <w:tmpl w:val="2084E27A"/>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1034F53"/>
    <w:multiLevelType w:val="hybridMultilevel"/>
    <w:tmpl w:val="B24E0D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79AF7C15"/>
    <w:multiLevelType w:val="hybridMultilevel"/>
    <w:tmpl w:val="E43EBD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7AA6033D"/>
    <w:multiLevelType w:val="hybridMultilevel"/>
    <w:tmpl w:val="58D6A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DB90432"/>
    <w:multiLevelType w:val="hybridMultilevel"/>
    <w:tmpl w:val="E7D4433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6"/>
  </w:num>
  <w:num w:numId="5">
    <w:abstractNumId w:val="1"/>
  </w:num>
  <w:num w:numId="6">
    <w:abstractNumId w:val="4"/>
  </w:num>
  <w:num w:numId="7">
    <w:abstractNumId w:val="0"/>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2C1B6D"/>
    <w:rsid w:val="00002056"/>
    <w:rsid w:val="000113ED"/>
    <w:rsid w:val="00022AB2"/>
    <w:rsid w:val="000348B1"/>
    <w:rsid w:val="0008793E"/>
    <w:rsid w:val="0020277A"/>
    <w:rsid w:val="002C1B6D"/>
    <w:rsid w:val="00351E11"/>
    <w:rsid w:val="00375786"/>
    <w:rsid w:val="003E385B"/>
    <w:rsid w:val="0049140B"/>
    <w:rsid w:val="004A13F2"/>
    <w:rsid w:val="0054495C"/>
    <w:rsid w:val="005471F5"/>
    <w:rsid w:val="005C7B76"/>
    <w:rsid w:val="00610D19"/>
    <w:rsid w:val="006B196D"/>
    <w:rsid w:val="006F0255"/>
    <w:rsid w:val="007E22C4"/>
    <w:rsid w:val="007E5CA7"/>
    <w:rsid w:val="00801AF1"/>
    <w:rsid w:val="00820F73"/>
    <w:rsid w:val="0085313B"/>
    <w:rsid w:val="008978F8"/>
    <w:rsid w:val="008F3567"/>
    <w:rsid w:val="008F77C6"/>
    <w:rsid w:val="009271FC"/>
    <w:rsid w:val="0093178C"/>
    <w:rsid w:val="00944320"/>
    <w:rsid w:val="009E0AE0"/>
    <w:rsid w:val="00AF3AAD"/>
    <w:rsid w:val="00D573BD"/>
    <w:rsid w:val="00DD1F03"/>
    <w:rsid w:val="00DD7599"/>
    <w:rsid w:val="00DE67CA"/>
    <w:rsid w:val="00E01AE8"/>
    <w:rsid w:val="00E17C47"/>
    <w:rsid w:val="00E83339"/>
    <w:rsid w:val="00F30C63"/>
    <w:rsid w:val="00F32FF9"/>
    <w:rsid w:val="00F42BCB"/>
    <w:rsid w:val="00FA15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1B6D"/>
    <w:rPr>
      <w:rFonts w:ascii="Times New Roman" w:eastAsia="Times New Roman" w:hAnsi="Times New Roman"/>
      <w:sz w:val="24"/>
      <w:szCs w:val="24"/>
    </w:rPr>
  </w:style>
  <w:style w:type="paragraph" w:styleId="Heading3">
    <w:name w:val="heading 3"/>
    <w:basedOn w:val="Normal"/>
    <w:link w:val="Heading3Char"/>
    <w:qFormat/>
    <w:rsid w:val="002C1B6D"/>
    <w:pPr>
      <w:pBdr>
        <w:bottom w:val="dotted" w:sz="4" w:space="5" w:color="999999"/>
      </w:pBdr>
      <w:spacing w:before="50" w:after="30"/>
      <w:outlineLvl w:val="2"/>
    </w:pPr>
    <w:rPr>
      <w:rFonts w:ascii="Trebuchet MS" w:hAnsi="Trebuchet MS"/>
      <w:color w:val="003399"/>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2C1B6D"/>
    <w:rPr>
      <w:rFonts w:ascii="Trebuchet MS" w:eastAsia="Times New Roman" w:hAnsi="Trebuchet MS" w:cs="Times New Roman"/>
      <w:color w:val="003399"/>
      <w:sz w:val="36"/>
      <w:szCs w:val="36"/>
    </w:rPr>
  </w:style>
  <w:style w:type="character" w:styleId="Hyperlink">
    <w:name w:val="Hyperlink"/>
    <w:rsid w:val="002C1B6D"/>
    <w:rPr>
      <w:color w:val="0000FF"/>
      <w:u w:val="single"/>
    </w:rPr>
  </w:style>
  <w:style w:type="paragraph" w:styleId="ListParagraph">
    <w:name w:val="List Paragraph"/>
    <w:basedOn w:val="Normal"/>
    <w:uiPriority w:val="34"/>
    <w:qFormat/>
    <w:rsid w:val="002C1B6D"/>
    <w:pPr>
      <w:ind w:left="720"/>
    </w:pPr>
  </w:style>
  <w:style w:type="character" w:styleId="Emphasis">
    <w:name w:val="Emphasis"/>
    <w:qFormat/>
    <w:rsid w:val="002C1B6D"/>
    <w:rPr>
      <w:i/>
      <w:iCs/>
    </w:rPr>
  </w:style>
  <w:style w:type="paragraph" w:styleId="BalloonText">
    <w:name w:val="Balloon Text"/>
    <w:basedOn w:val="Normal"/>
    <w:link w:val="BalloonTextChar"/>
    <w:uiPriority w:val="99"/>
    <w:semiHidden/>
    <w:unhideWhenUsed/>
    <w:rsid w:val="002C1B6D"/>
    <w:rPr>
      <w:rFonts w:ascii="Tahoma" w:hAnsi="Tahoma" w:cs="Tahoma"/>
      <w:sz w:val="16"/>
      <w:szCs w:val="16"/>
    </w:rPr>
  </w:style>
  <w:style w:type="character" w:customStyle="1" w:styleId="BalloonTextChar">
    <w:name w:val="Balloon Text Char"/>
    <w:link w:val="BalloonText"/>
    <w:uiPriority w:val="99"/>
    <w:semiHidden/>
    <w:rsid w:val="002C1B6D"/>
    <w:rPr>
      <w:rFonts w:ascii="Tahoma" w:eastAsia="Times New Roman" w:hAnsi="Tahoma" w:cs="Tahoma"/>
      <w:sz w:val="16"/>
      <w:szCs w:val="16"/>
    </w:rPr>
  </w:style>
  <w:style w:type="paragraph" w:styleId="FootnoteText">
    <w:name w:val="footnote text"/>
    <w:basedOn w:val="Normal"/>
    <w:link w:val="FootnoteTextChar"/>
    <w:unhideWhenUsed/>
    <w:rsid w:val="006F0255"/>
    <w:rPr>
      <w:rFonts w:ascii="Lucida Grande" w:eastAsia="ヒラギノ角ゴ Pro W3" w:hAnsi="Lucida Grande"/>
      <w:color w:val="000000"/>
      <w:sz w:val="20"/>
      <w:szCs w:val="20"/>
    </w:rPr>
  </w:style>
  <w:style w:type="character" w:customStyle="1" w:styleId="FootnoteTextChar">
    <w:name w:val="Footnote Text Char"/>
    <w:basedOn w:val="DefaultParagraphFont"/>
    <w:link w:val="FootnoteText"/>
    <w:rsid w:val="006F0255"/>
    <w:rPr>
      <w:rFonts w:ascii="Lucida Grande" w:eastAsia="ヒラギノ角ゴ Pro W3" w:hAnsi="Lucida Grande"/>
      <w:color w:val="000000"/>
    </w:rPr>
  </w:style>
  <w:style w:type="character" w:styleId="FootnoteReference">
    <w:name w:val="footnote reference"/>
    <w:unhideWhenUsed/>
    <w:rsid w:val="006F0255"/>
    <w:rPr>
      <w:vertAlign w:val="superscript"/>
    </w:rPr>
  </w:style>
  <w:style w:type="character" w:styleId="FollowedHyperlink">
    <w:name w:val="FollowedHyperlink"/>
    <w:basedOn w:val="DefaultParagraphFont"/>
    <w:uiPriority w:val="99"/>
    <w:semiHidden/>
    <w:unhideWhenUsed/>
    <w:rsid w:val="006B196D"/>
    <w:rPr>
      <w:color w:val="800080" w:themeColor="followedHyperlink"/>
      <w:u w:val="single"/>
    </w:rPr>
  </w:style>
  <w:style w:type="paragraph" w:customStyle="1" w:styleId="BodyText1">
    <w:name w:val="Body Text1"/>
    <w:rsid w:val="00DE67CA"/>
    <w:pPr>
      <w:spacing w:after="120"/>
    </w:pPr>
    <w:rPr>
      <w:rFonts w:ascii="Lucida Grande" w:eastAsia="ヒラギノ角ゴ Pro W3" w:hAnsi="Lucida Grande"/>
      <w:color w:val="000000"/>
      <w:lang w:val="de-D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ne-marie.esper-larsen@unwomen.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anesa.dizdarevic@unwomen.org" TargetMode="External"/><Relationship Id="rId4" Type="http://schemas.openxmlformats.org/officeDocument/2006/relationships/webSettings" Target="webSettings.xml"/><Relationship Id="rId9" Type="http://schemas.openxmlformats.org/officeDocument/2006/relationships/hyperlink" Target="mailto:ermira.lubani@unwome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1001</Words>
  <Characters>5707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UNDP Bosnia and Herzegovina</Company>
  <LinksUpToDate>false</LinksUpToDate>
  <CharactersWithSpaces>6695</CharactersWithSpaces>
  <SharedDoc>false</SharedDoc>
  <HLinks>
    <vt:vector size="12" baseType="variant">
      <vt:variant>
        <vt:i4>4980775</vt:i4>
      </vt:variant>
      <vt:variant>
        <vt:i4>3</vt:i4>
      </vt:variant>
      <vt:variant>
        <vt:i4>0</vt:i4>
      </vt:variant>
      <vt:variant>
        <vt:i4>5</vt:i4>
      </vt:variant>
      <vt:variant>
        <vt:lpwstr>mailto:amna.muharemovic@unwomen.org</vt:lpwstr>
      </vt:variant>
      <vt:variant>
        <vt:lpwstr/>
      </vt:variant>
      <vt:variant>
        <vt:i4>2621535</vt:i4>
      </vt:variant>
      <vt:variant>
        <vt:i4>0</vt:i4>
      </vt:variant>
      <vt:variant>
        <vt:i4>0</vt:i4>
      </vt:variant>
      <vt:variant>
        <vt:i4>5</vt:i4>
      </vt:variant>
      <vt:variant>
        <vt:lpwstr>mailto:anne-marie.esper-larsen@unwomen.org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Amna Muharemović</dc:creator>
  <cp:lastModifiedBy>adizdarevic</cp:lastModifiedBy>
  <cp:revision>6</cp:revision>
  <cp:lastPrinted>2014-06-24T13:19:00Z</cp:lastPrinted>
  <dcterms:created xsi:type="dcterms:W3CDTF">2014-06-24T13:23:00Z</dcterms:created>
  <dcterms:modified xsi:type="dcterms:W3CDTF">2014-06-25T14:40:00Z</dcterms:modified>
</cp:coreProperties>
</file>